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CR.2008.0215 vom 15. Juli 2009</w:t>
      </w:r>
    </w:p>
    <w:p>
      <w:r>
        <w:t>VD Tribunal cantonal, 2009-07-15, FR</w:t>
      </w:r>
    </w:p>
    <w:p>
      <w:r>
        <w:rPr>
          <w:b/>
        </w:rPr>
        <w:t xml:space="preserve">Quelle: </w:t>
      </w:r>
      <w:r>
        <w:t>https://mcp.opencaselaw.ch/entscheid/vd_omni_CR.2008.0215</w:t>
      </w:r>
    </w:p>
    <w:p>
      <w:r>
        <w:t>FR: VD_OMNI CR.2008.0215 du 15 juillet 2009</w:t>
      </w:r>
    </w:p>
    <w:p>
      <w:r>
        <w:t>IT: VD_OMNI CR.2008.0215 del 15 luglio 2009</w:t>
      </w:r>
    </w:p>
    <w:p>
      <w:pPr>
        <w:pStyle w:val="Heading2"/>
      </w:pPr>
      <w:r>
        <w:t>Regeste</w:t>
      </w:r>
    </w:p>
    <w:p>
      <w:r>
        <w:t>X. c/Service des automobiles et de la navigation | Retrait de permis de 14 mois pour opposition à une prise de sang confirmé. Même si le jugement pénal retient en définitive qu'il n'est pas établi que, pour aller au second établissement public, la recourante conduisait un véhicule, la pertinence d'un contrôle à l'éthylomètre resulte du fait qu'elle a admis avoir conduit dans la soirée et avoir consommé de l'alcool, puis qu'elle apparue fortement alcoolisée peu après dans un établissement public, où une violente altercation verbale et physique s'est produite.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w:t>
      </w:r>
    </w:p>
    <w:p>
      <w:r>
        <w:rPr>
          <w:b/>
        </w:rPr>
        <w:t>E. 2</w:t>
      </w:r>
    </w:p>
    <w:p>
      <w:r>
        <w:t>La recourante considère que le jugement pénal du 27 mai 2009 contient une contradiction manifeste, en retenant d'un côté qu'il n'est pas établi que la recourante ait conduit un véhicule et de l'autre, en la condamnant pour soustraction aux mesures visant à déterminer son taux d'alcoolémie, mesures qui ne peuvent être ordonnées qu'aux personnes soumises à la LCR. Pour l'autorité intimée, le jugement pénal a retenu l'opposition à ces mesures, ordonnées en raison des circonstances, et elle considère qu'elle n'a pas de raison de s'en écarter.</w:t>
      </w:r>
    </w:p>
    <w:p>
      <w:r>
        <w:rPr>
          <w:b/>
        </w:rPr>
        <w:t>E. 2.1</w:t>
      </w:r>
    </w:p>
    <w:p>
      <w:r>
        <w:t>et les références citées, 1.C_29/2007 du 27 août 2007, consid. 3.1 et les références citées ; 6A.100/2006 du 28 mars 2007 ; 119 Ib 158, consid. 3 ; CR.2007.0294 du 18 juin 2008 ; CR.2007.0340 du 30 juillet 2007). Lorsque l’appréciation juridique dépend très fortement de l’appréciation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 CR.2007.0294 précité). d) Dans le cas présent, la recourante a bien admis avoir conduit un véhicule automobile le 7 mai 2007 pour rentrer du bar où elle travaillait à son domicile, vers 23h15. Elle a déclaré n'avoir consommé à ce moment-là qu'un verre de vin au moment du repas, vers 21h. Puis elle s’est rendue dans un second établissement public en étant déjà sous l’emprise de l’alcool. Au vu de ces circonstances, même si les faits à l'origine du contrôle de police sont l'altercation qui s'est produite avec la victime, au vu de l’état fortement alcoolisé de la recourante qui a reconnu avoir conduit son véhicule moins de deux heures avant le contrôle de police chez elle, il est compréhensible que la police ait estimé nécessaire de procéder à un contrôle à l’éthylomètre, dans la mesure où un tel contrôle était susceptible de déterminer l’état d’ébriété de la recourante au moment où elle avait conduit la dernière fois. Dès lors, même si le jugement du Tribunal de police retient en définitive qu’il n’est pas établi que, pour aller au second établissement public, la recourante conduisait un véhicule, la pertinence d’un contrôle à l’éthylomètre ressort en revanche des circonstances précédentes, à savoir qu’elle a admis avoir conduit dans la soirée, avoir consommé de l’alcool, puis être apparue fortement alcoolisée peu après dans un établissement public. Fondée sur ces faits et cette appréciation, c’est à bon droit que l’autorité intimée a retenu que la recourante s’était rendue coupable d’une infraction grave au sens de l’art. 16c al. 1 let d LCR, justifiant un retrait de permis pour une durée de 14 mois, compte tenu d’un antécédent grave. Au demeurant, cette appréciation est conforme à la jurisprudence du tribunal (voir pour des exemples récents où le tribunal a considéré qu'un retrait de 14 mois, intervenant au cours des cinq ans après un premier retrait pour infraction grave, n'était pas disproportionné, même en présence d'un besoin professionnel avéré, et où il a confirmé l'appréciation du SAN: CR.2008.0197 du 17 mars 2009, CR.2008.0144 du 3 février 2009, CR.2008.0151 du 15 octobre 2008, CR.2008.0003 du 7 mai 2008, CR.2007.0262 du 7 décembre 2007)</w:t>
      </w:r>
    </w:p>
    <w:p>
      <w:r>
        <w:rPr>
          <w:b/>
        </w:rPr>
        <w:t>E. 3</w:t>
      </w:r>
    </w:p>
    <w:p>
      <w:r>
        <w:t>a) L'art. 1 LCR définit le champ d'application de la loi: "1. La présente loi régit la circulation sur la voie publique ainsi que la responsabilité civile et l’assurance pour les dommages causés par des véhicules automobiles ou des cycles. 2. Les conducteurs de véhicules automobiles et les cyclistes sont soumis aux règles de la circulation (art. 26 à 57) sur toutes les routes servant à la circulation publique; les autres usagers de la route ne sont soumis à ces règles que sur les routes ouvertes entièrement ou partiellement aux véhicules automobiles ou aux cycles." L'art. 55 LCR, concernant le constat de l'incapacité de conduire, prévoit que les conducteurs de véhicules, de même que les autres usagers de la route impliqués dans un accident, peuvent être soumis à un alcootest (al. 1), à d’autres examens préliminaires, notamment à un contrôle de l’urine et de la salive (al. 2) et à une prise de sang (al. 3). Selon l'art. 91a LCR : "1.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2. La peine sera l’amende si le délinquant a conduit un véhicule sans moteur ou s’il a été impliqué dans un accident en qualité d’usager de la route." Quant à l’art. 16c al. 1 let. b LCR, il dispose : "Commet une infraction grave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Comme l'ancien art. 91 al. 3 LCR, qu'il reprend en substance, l'art. 91a LCR punit l'opposition et la dérobade aux mesures visant à déterminer l’incapacité de conduire. Il vise le conducteur de véhicule automobile (al. 1) ou celui d'un véhicule sans moteur ou encore de celui a été impliqué dans un accident en qualité d’usager de la route (al. 2). Selon la jurisprudence, l'auteur de cette infraction peut-être toute personne, pour autant qu'elle soit impliquée dans un accident et suspectée d'être prise de boisson (ATF 116 IV 75). On envisage donc toute personne qui, de quelque manière que ce soit, a contribué à la survenance d'un accident, indépendamment de toute question de responsabilité, par exemple, le passager saisissant le volant ou même un piéton (Bussy et Rusconi, Code suisse de la circulation routière, Commentaire, troisième édition, Editions Payot Lausanne, 1996, p. 698 ss et les références citées; voir également France Françoise Cardinaux, Les dispositions pénales de la loi fédérale sur la circulation routière et le concours, Collection juridique romande, Payot Lausanne, 1987, p.203 ss). b) En l'espèce, si le jugement du 27 mai 2008 retient que " les témoignages ne sont pas suffisamment précis pour retenir que X.________ s'est rendue au Café A.________ et a ensuite quitté ce café au volant de sa voiture ", il estime qu' " au vu des circonstances, elle devait s'attendre à être soumise à une prise de sang du moment qu'elle avait conduit sa voiture le soir du 7 mai 2007 " (jugement du Tribunal de police du 27 mai 2008) . c)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1C_93/2008 du 2 juillet 2008 consid.</w:t>
      </w:r>
    </w:p>
    <w:p>
      <w:r>
        <w:rPr>
          <w:b/>
        </w:rPr>
        <w:t>E. 4</w:t>
      </w:r>
    </w:p>
    <w:p>
      <w:r>
        <w:t>A cela s’ajoute que, dans la mesure où la recourante entendait contester cette appréciation, il lui appartenait de le faire en recourant contre le jugement pénal. En effet, conformément à la jurisprudence précitée, lorsqu’une personne sait ou doit prévoir, en raison de la gravité des faits qui lui sont reprochés, qu’il y aurait également une procédure de retrait de permis, elle est tenue, en vertu des règles de la bonne foi, de faire valoir ses moyens dans le cadre de la procédure pénale, le cas échéant en épuisant les voies de recours à sa disposition. Elle ne peut attendre la procédure administrative pour exposer ses arguments (ATF 1C_29/2007 précité et références citées, 6A.100/2006 précité). La recourante, assistée par un avocat dans la procédure pénale, a cependant renoncé à contester le jugement du 27 mai 2008 la concernant. Elle ne saurait donc aujourd’hui remettre en cause ce jugement devant l’autorité administrative.</w:t>
      </w:r>
    </w:p>
    <w:p>
      <w:r>
        <w:rPr>
          <w:b/>
        </w:rPr>
        <w:t>E. 5</w:t>
      </w:r>
    </w:p>
    <w:p>
      <w:r>
        <w:t>Les considérants qui précèdent conduisent au rejet du recours et à la confirmation de la décision attaquée. Vu l’issue du litige, l’émolument de justice sera mis à la charge de la recourante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