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CR.2008.0185 vom 13. Februar 2009</w:t>
      </w:r>
    </w:p>
    <w:p>
      <w:r>
        <w:t>VD Tribunal cantonal, 2009-02-13, FR</w:t>
      </w:r>
    </w:p>
    <w:p>
      <w:r>
        <w:rPr>
          <w:b/>
        </w:rPr>
        <w:t xml:space="preserve">Quelle: </w:t>
      </w:r>
      <w:r>
        <w:t>https://mcp.opencaselaw.ch/entscheid/vd_omni_CR.2008.0185</w:t>
      </w:r>
    </w:p>
    <w:p>
      <w:r>
        <w:t>FR: VD_OMNI CR.2008.0185 du 13 février 2009</w:t>
      </w:r>
    </w:p>
    <w:p>
      <w:r>
        <w:t>IT: VD_OMNI CR.2008.0185 del 13 febbraio 2009</w:t>
      </w:r>
    </w:p>
    <w:p>
      <w:pPr>
        <w:pStyle w:val="Heading2"/>
      </w:pPr>
      <w:r>
        <w:t>Regeste</w:t>
      </w:r>
    </w:p>
    <w:p>
      <w:r>
        <w:t>X. c/Service des automobiles et de la navigation | Un conducteur domicilié en France qui commet une infraction sur sol suisse doit se voir retirer son permis de conduire suisse, même s'il n'est plus en possession de ce permis et conduit désormais au bénéfice d'un permis français. Retrait de douze mois confirmé à la suite d'une infraction grave commise en état de récidive. Le retrait du permis de conduire suisse entraîne l'interdiction de faire usage de tout permis étranger.</w:t>
      </w:r>
    </w:p>
    <w:p>
      <w:pPr>
        <w:pStyle w:val="Heading2"/>
      </w:pPr>
      <w:r>
        <w:t>Erwägungen</w:t>
      </w:r>
    </w:p>
    <w:p>
      <w:r>
        <w:rPr>
          <w:b/>
        </w:rPr>
        <w:t>E. 1</w:t>
      </w:r>
    </w:p>
    <w:p>
      <w:r>
        <w:t>Le recourant invoque principalement le fait qu’il serait actuellement au bénéfice d’une autorisation de conduire française et non plus d’un permis suisse, déposé auprès des autorités françaises dès sa prise de domicile en France. Une interdiction de faire usage de son permis étranger aurait donc dû être prononcée, à l’exclusion d’un retrait de son permis suisse. A cet égard, le renvoi de l’art. 45 de l’ordonnance du 27 octobre 1976 réglant l’admission des personnes et des véhicules à la circulation routière (OAC ; RS 741.51) ne constituerait pas une base légale suffisante pour permettre l’application des art. 16 ss de la loi fédérale du 19 décembre 1958 sur la circulation routière (LCR ; RS 741.01) à une interdiction de faire usage d’un permis étranger. Pour cette raison, l’autorité intimée serait en mesure de réduire la durée de l’interdiction de conduire en Suisse en tenant compte des circonstances particulières de l’affaire, à savoir que l’intéressé n’aurait utilisé sa voiture que sur quelques dizaines de mètres et n’entendait pas faire usage de son véhicule pour rentrer chez lui le soir de son interpellation. Le recourant invoque encore un besoin professionnel.</w:t>
      </w:r>
    </w:p>
    <w:p>
      <w:r>
        <w:rPr>
          <w:b/>
        </w:rPr>
        <w:t>E. 2</w:t>
      </w:r>
    </w:p>
    <w:p>
      <w:r>
        <w:t>a) Dans sa jurisprudence, le Tribunal fédéral a jugé que, en cas de délivrance d’un permis de conduire étranger utilisé ensuite d’un vol du permis de conduire suisse, il se justifie de retirer l’autorisation suisse de conduire malgré l’absence de possession de ce document par la personne sanctionnée ; cette justification réside notamment dans les conséquences que cette mesure peut avoir sur la durée d’un éventuel retrait futur du permis de conduire, à savoir sur l’examen de la récidive (ATF 102 Ib 290 consid. 3). Le domicile du titulaire à l’étranger ne s’oppose pas au retrait du permis de conduire suisse (ATF 102 Ib 290 précité et 105 IV 70 consid. 2 b). b) Dans le cas présent, l e tribunal de céans constate que, selon les fichiers administratifs de l’autorité intimée, le recourant est actuellement toujours titulaire d’un permis de conduire suisse, délivré le 18 septembre 1970 pour la catégorie de véhicules concernée, dont la validité et les conditions d’obtention ne sont pas contestées. C’est d’ailleurs ce document qui a été saisi par la police cantonale le jour de l’infraction, puis restitué à titre provisoire. Aussi, le fait que le recourant aurait déposé ce permis auprès des autorités françaises ne change-t-il rien au fait que l’intéressé est toujours titulaire d’une autorisation de conduire suisse. Dans la mesure où le recourant a enfreint les prescriptions sur la circulation routière en Suisse, il doit donc faire en premier lieu l’objet d’un retrait d’admonestation de son permis suisse fondé sur l’art. 16 al. 2 LCR, qui prescrit que « lorsque la procédure prévue par la loi fédérale du 24 juin 1970 sur les amendes d’ordre n’est pas applicable, une infraction aux prescriptions sur la circulation routière entraîne le retrait du permis d’élève-conducteur ou du permis de conduire ou un avertissement » . Les conditions des art. 16 à 16c LCR sont applicables à ce retrait. On relève encore à cet égard que, malgré les incertitudes émises par le SAN dans sa réponse du 27 août 2008 sur la détention d’un permis de conduire français par le recourant, celui-ci n’a pas jugé utile d’apporter la preuve de l’existence d’un tel document. Il est dès lors permis de douter que le recourant soit bel et bien en possession d’une autorisation de conduire française. L’existence de ce doute justifie d’autant plus, si besoin est, le retrait du permis de conduire suisse de l’intéressé.</w:t>
      </w:r>
    </w:p>
    <w:p>
      <w:r>
        <w:rPr>
          <w:b/>
        </w:rPr>
        <w:t>E. 3</w:t>
      </w:r>
    </w:p>
    <w:p>
      <w:r>
        <w:t>a) Aux termes de l'art. 16c al. 1 let. b LCR , commet une infraction grave la personne qui conduit un véhicule automobile en état d'ébriété et présente un taux d’alcool qualifié. Selon l’art. 1 er de l'ordonnance du 21 mars 2003 de l'Assemblée fédérale concernant les taux d'alcool limites admis en matière de circulation routière (RS 741.13), applicable par renvoi de l’art. 55 al. 6 LCR, est réputé incapable de conduire le conducteur dont le taux d’alcool est de 0,5 g pour mille ou plus, ou que son organisme contient une quantité d’alcool entraînant une telle alcoolémie (al. 1); est réputé qualifié un taux d’alcool de 0,8 g pour mille, ou plus (al. 2). En l’espèce, le jugement pénal du 22 avril 2008 retient que, le 29 avril 2007, le recourant a déplacé sa voiture par deux fois sur une centaine de mètres, tout d’abord pour la rapprocher de son lieu de chargement, puis pour la stationner à nouveau sur une place de parc, ceci alors qu’il présentait un taux d’alcool de 1,15 o/oo. Selon la jurisprudence, les faits retenus au pénal lient le juge administratif (ATF 121 II 214 consid. 3 a). Par conséquent, le tribunal de céans constate que le recourant a circulé au volant de son véhicule avec un taux d’alcool qualifié et que cette infraction doit être qualifiée de grave au sens des dispositions précitées. b) Selon l'art. 16c al. 2 LCR, après une infraction grave,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Le recourant a déjà fait l’objet de plusieurs mesures de retrait antérieures. Parmi elles, l’autorité intimée n’a mentionné que la première de ces mesures, à savoir un retrait du permis de conduire pour une durée de deux mois, effectué du 18 janvier au 17 mars 2005, pour conduite d’un véhicule automobile en état d’ébriété, infraction qualifiée de grave sous l’empire de l’ancien droit. La prise en compte de cette seule infraction permet déjà de constater que les faits actuellement reprochés au recourant constituent un cas de récidive survenu dans le délai de cinq ans de l’art. 16c al. 2 let. c LCR qui justifie un retrait de permis de conduire de douze mois au moins. c)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L’autorité intimée a prononcé un retrait de permis de douze mois correspondant à la durée minimale légale. Compte tenu de l’interdiction faite à l’art. 16 al. 3 dernière phrase LCR, il n’est pas possible de réduire la durée de la mesure litigieuse en raison de la courte distance parcourue par le recourant au volant de son véhicule ce soir-là et de son intention de regagner son domicile à pied. Pour le même motif, l’existence d’un besoin professionnel ne peut entrer en ligne de compte pour réduire la durée du retrait. d) Par conséquent, force est de constater que c ’est à juste titre que l’autorité intimée a ordonné un retrait du permis de conduire suisse du recourant pour une durée de douze mois.</w:t>
      </w:r>
    </w:p>
    <w:p>
      <w:r>
        <w:rPr>
          <w:b/>
        </w:rPr>
        <w:t>E. 4</w:t>
      </w:r>
    </w:p>
    <w:p>
      <w:r>
        <w:t>En vertu de l’art. 42 ch. 1 de la convention du</w:t>
      </w:r>
    </w:p>
    <w:p>
      <w:r>
        <w:rPr>
          <w:b/>
        </w:rPr>
        <w:t>E. 8</w:t>
      </w:r>
    </w:p>
    <w:p>
      <w:r>
        <w:t>novembre 1968 sur la circulation routière (RS 0.741.10), l es parties contractantes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 ’art. 45 al. 2 OAC, prescrit à cet égard que, en retirant le permis de conduire suisse, il faut toujours, le cas échéant, interdire simultanément l’usage du permis de conduire étranger. Le Tribunal fédéral a jugé que le retrait d’un permis de conduire suisse devait toujours entraîner l’interdiction de faire usage d’un permis de conduire étranger, au risque, dans le cas contraire, de rendre illusoire et sans effet la mesure d’interdiction de conduire en Suisse. Ce faisant, le Tribunal fédéral a implicitement admis que la durée de l’interdiction d’usage du permis étranger doit être calquée sur celle du retrait du permis suisse, comme conséquence directe de ce retrait ; il n’a pas procédé à un examen autonome des motifs et de la durée de l’interdiction d’usage du permis étranger ( ATF 102 Ib 290 consid. 3 ; 105 IV 70 consid. 2 b). Dans ce dernier arrêt, le Tribunal fédéral s’est référé à l’art. 45 al. 2 OAC sans remettre en doute la conformité de la base légale en cause, question qu’il est pourtant tenu d’examiner d’office, indépendamment des griefs soulevés (ATF 133 II 331 consid. 3.3, pour le cas d’une infraction à la circulation routière commise à l’étranger dont la sanction ne reposait pas sur une base légale suffisante et dont le principe de la territorialité ne permettait pas à l’autorité suisse d’appréhender les faits reprochés). Au vu de ce qui précède, il faut admettre que l’autorité intimée s’est conformée à la jurisprudence fédérale et que c’est donc à bon droit qu’elle a précisé dans la décision attaquée que le retrait du permis de conduire suisse entraînait l’interdiction de faire usage de tout permis de conduire étranger, national ou international, pour la même durée que le retrait de l’autorisation suisse. Il importe peu que l’autorité intimée n’ait pas eu connaissance du prétendu permis français du recourant lorsqu’elle a prononcé cette mesure. La formulation générale de cette interdiction déploie ses effets à l’égard de tout permis étranger dont le recourant serait titulaire. 5. En conclusion, la décision attaquée doit être confirmée et le recours rejeté aux frais du recourant, qui n’a pas droit à des dépens (art. 49 al. 1 de la loi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