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CR.2008.0174 vom 14. November 2008</w:t>
      </w:r>
    </w:p>
    <w:p>
      <w:r>
        <w:t>VD Tribunal cantonal, 2008-11-14, FR</w:t>
      </w:r>
    </w:p>
    <w:p>
      <w:r>
        <w:rPr>
          <w:b/>
        </w:rPr>
        <w:t xml:space="preserve">Quelle: </w:t>
      </w:r>
      <w:r>
        <w:t>https://mcp.opencaselaw.ch/entscheid/vd_omni_CR.2008.0174</w:t>
      </w:r>
    </w:p>
    <w:p>
      <w:r>
        <w:t>FR: VD_OMNI CR.2008.0174 du 14 novembre 2008</w:t>
      </w:r>
    </w:p>
    <w:p>
      <w:r>
        <w:t>IT: VD_OMNI CR.2008.0174 del 14 novembre 2008</w:t>
      </w:r>
    </w:p>
    <w:p>
      <w:pPr>
        <w:pStyle w:val="Heading2"/>
      </w:pPr>
      <w:r>
        <w:t>Regeste</w:t>
      </w:r>
    </w:p>
    <w:p>
      <w:r>
        <w:t>X.________ /Service des automobiles et de la navigation | En l'absence d'autres éléments, une seule conduite sous l'influence de stupéfiants en juin 2005 ne suffit pas à justifier un retrait à titre préventif trois ans plus tard, malgré le fait que l'intéressé ne s'est pas rendu aux trois contrôles successifs de l'UMTR.</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Selon l¿art. 16d de la loi fédérale du 19 décembre 1958 sur la circulation routière (LCR),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w:t>
      </w:r>
    </w:p>
    <w:p>
      <w:r>
        <w:rPr>
          <w:b/>
        </w:rPr>
        <w:t>E. 3</w:t>
      </w:r>
    </w:p>
    <w:p>
      <w:r>
        <w:t>Le Tribunal fédéral a précisé qu'en matière de toxicomanie, il en va de la drogue comme de l'alcool :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ATF 127 II 122). Lorsque les présomptions de dépendance ne sont pas assez fortes pour justifier une mesure de retrait préventif, le Tribunal administratif a jugé, dans des cas de consommation de stupéfiants, que l'instruction devait se poursuivre par la mise en ¿uvre d¿une expertise (voir arrêts CR.2002.0270 du 25 novembre 2002; CR.2002.0176 du 20 janvier 2004 ; CR.2004.0152 du 8 juin 2004; CR.2005.0204 du 8 septembre 2005). En l'espèce, la consommation établie de produits stupéfiants par le recourant remonte à juin 2005. En l'état du dossier, il n'apparaît pas qu¿il a été interpellé pour ce motif depuis lors. A cela s'ajoute le fait qu'il n'a jamais fait l'objet d'une mesure administrative pour conduite sous l'influence de produits stupéfiants. Qu'il ne se soit pas rendu auprès de l'UMTR pour y effectuer les trois contrôles successifs nécessaires ne suffit pas, contrairement à ce que soutient l'autorité intimée, à susciter des soupçons tels qu'ils justifient de l¿écarter immédiatement de la circulation routière. Dès lors, la décision attaquée doit être annulée sur ce point. Il n'en va pas de même en ce qui concerne la procédure d'expertise ordonnée par l'autorité intimée. A cet égard, les arguments du recourant tendant à démontrer que cette mesure n'est pas nécessaire ne sont pas pertinents. Dans l'exemple qu'il avance (arrêt 6A.33/2001 du 30 mai 2001), le Tribunal fédéral avait considéré qu'aucun indice ne permettait de penser que le conducteur en question n'arrivait pas à s'abstenir de consommer du cannabis quand il devait conduire. Or, le cas présent est sensiblement différent. En 2005, le recourant a conduit son véhicule alors qu'il était sous l'influence de stupéfiants. Dans le cadre de l'enquête pénale, il a admis consommer régulièrement du cannabis, dont une partie provient de sa propre culture. Une telle consommation peut engendrer une certaine dépendance incompatible avec la conduite automobile. En outre, dans le cadre de la présente procédure, le recourant ne prétend pas ni ne démontre avoir cessé de consommer des stupéfiants. Il n'explique pas non plus pour quelles raisons il ne s'est pas rendu aux trois contrôles successifs de l'UMTR. Dans ce contexte, il demeure une incertitude qui doit être levée. Il se justifie donc, conformément à la jurisprudence rappelée ci-dessus, de le soumettre à une expertise auprès de l'UMTR.</w:t>
      </w:r>
    </w:p>
    <w:p>
      <w:r>
        <w:rPr>
          <w:b/>
        </w:rPr>
        <w:t>E. 4</w:t>
      </w:r>
    </w:p>
    <w:p>
      <w:r>
        <w:t>Le recourant obtenant l'admission partielle de ses conclusions, un émolument de justice réduit sera mis à sa charge (art. 55 LJPA). N'ayant pas procédé par l'intermédiaire d'un homme de loi, il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