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CR.2008.0173 vom 5. September 2008</w:t>
      </w:r>
    </w:p>
    <w:p>
      <w:r>
        <w:t>VD Tribunal cantonal, 2008-09-05, FR</w:t>
      </w:r>
    </w:p>
    <w:p>
      <w:r>
        <w:rPr>
          <w:b/>
        </w:rPr>
        <w:t xml:space="preserve">Quelle: </w:t>
      </w:r>
      <w:r>
        <w:t>https://mcp.opencaselaw.ch/entscheid/vd_omni_CR.2008.0173</w:t>
      </w:r>
    </w:p>
    <w:p>
      <w:r>
        <w:t>FR: VD_OMNI CR.2008.0173 du 5 septembre 2008</w:t>
      </w:r>
    </w:p>
    <w:p>
      <w:r>
        <w:t>IT: VD_OMNI CR.2008.0173 del 5 settembre 2008</w:t>
      </w:r>
    </w:p>
    <w:p>
      <w:pPr>
        <w:pStyle w:val="Heading2"/>
      </w:pPr>
      <w:r>
        <w:t>Regeste</w:t>
      </w:r>
    </w:p>
    <w:p>
      <w:r>
        <w:t>X.________ /Service des automobiles et de la navigation | La perte de maîtrise sur l'autoroute, due à un aveuglement solaire subit et ayant entraîné une collision en chaîne dans un trafic dense et ralenti est constitutive, in casu, d'une faute légère.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 RSV 173.36). Il y a donc lieu d'entrer en matière.</w:t>
      </w:r>
    </w:p>
    <w:p>
      <w:r>
        <w:rPr>
          <w:b/>
        </w:rPr>
        <w:t>E. 2</w:t>
      </w:r>
    </w:p>
    <w:p>
      <w:r>
        <w:t>L'art. 31 al. 1 de la loi fédérale du 19 décembre1958 sur la circulation routière (LCR; RS 741.01) dispose que le conducteur devra rester constamment maître de son véhicule de façon à pouvoir se conformer aux devoirs de la prudence. L'art. 34 al. 4 LCR prévoit que le conducteur observera une distance suffisante envers tous les usagers de la route, notamment pour croiser, dépasser et circuler de front ou lorsque des véhicules se suivent. Cette disposition est complétée par l'art. 12 al. 1 de l'ordonnance du Conseil fédéral du 13 novembre 1962 sur les règles de la circulation routière (OCR; RS 741.11) qui prévoit que l orsque des véhicules se suivent, le conducteur se tiendra à une distance suffisante du véhicule qui le précède, afin de pouvoir s¿arrêter à temps en cas de freinage inattendu.</w:t>
      </w:r>
    </w:p>
    <w:p>
      <w:r>
        <w:rPr>
          <w:b/>
        </w:rPr>
        <w:t>E. 3</w:t>
      </w:r>
    </w:p>
    <w:p>
      <w:r>
        <w:t>c/aa; 119 Ib 158 consid. 3 c/aa; 106 Ib 398 consid. 2; 105 Ib 19 consid. 1a).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b) En l'espèce, le recourant a expliqué les motifs pour lesquels il n¿avait pas contesté la décision pénale : à la suite d¿une discussion avec l¿agent de police en charge de l¿intervention, il ne s¿attendait pas à une procédure de retrait de permis. Cette allégation est corroborée par deux éléments à savoir d¿une part, que l¿amende infligée était suffisamment clémente pour imaginer que la faute était légère, et d¿autre part par le fait que le conducteur du véhicule n o 5, C.________, avait rassuré le recourant en l¿informant qu¿il n¿avait fait l¿objet que d¿un avertissement de la part des autorités fribourgeoises. Au surplus, le recourant a été informé d¿une éventuelle mesure administrative à son encontre plus d¿un mois après le prononcé pénal. En outre, la décision pénale, rendue à la suite d'une procédure sommaire, sans audition du recourant, retient que celui-ci n¿a pas respecté la distance de sécurité en se fondant d¿une part, sur le rapport de transmission du 16 avril 2008 de la police de Soleure et d¿autre part, sur les déclarations du recourant selon lesquelles celui-ci roulait à 60 km/h moyennant une distance égale à la longueur de trois véhicules. Or, le recourant conteste précisément l¿interprétation faite de ses déclarations en ce qui concerne la distance le séparant du véhicule qui le précédait. Dans la mesure où ni le rapport de police, ni la décision pénale ne chiffrent la distance retenue, le recourant  n¿était pas en mesure de constater que  ses déclarations avaient été mal comprises et de contester, le cas échéant, les faits. On relève au surplus que la décision attaquée ne retient qu¿une perte de maîtrise du véhicule ayant entraîné une collision par l¿arrière sur l¿autoroute suite à un ralentissement, faute qualifiée de moyennement grave; elle ne dit en revanche rien quant à une distance de sécurité insuffisante. Vu ce qui précède, il appartient à la Cour de céans d¿examiner la question, décisive en l¿espèce, du respect de la distance de sécurité.</w:t>
      </w:r>
    </w:p>
    <w:p>
      <w:r>
        <w:rPr>
          <w:b/>
        </w:rPr>
        <w:t>E. 4</w:t>
      </w:r>
    </w:p>
    <w:p>
      <w:r>
        <w:t>La distance de sécurité à observer entre deux véhicules qui se suivent correspond à la moitié de la vitesse en mètres, formule qui comporte déjà une certaine marge de sécurité (SJZ 1972 = JT 1975 I 439), soit 30 m pour une vitesse de 60 km/h, ou à un intervalle de deux secondes entre les deux véhicules (selon les recommandations de la gendarmerie et du SAN du canton de Vaud). En l¿occurrence, le recourant prétend avoir tenu une distance de 40 m avec le véhicule précédent soit « 3 longueurs de voiture, selon l¿exemple proposé par l¿agent » . Il est certes parfois difficile au conducteur d¿évaluer correctement l¿intervalle le séparant du véhicule précédent. Toutefois, la distance indiquée par le recourant n¿est pas éloignée de celles mentionnées par les autres conducteurs impliqués dans l¿accident ; on rappelle que le conducteur n o</w:t>
      </w:r>
    </w:p>
    <w:p>
      <w:r>
        <w:rPr>
          <w:b/>
        </w:rPr>
        <w:t>E. 5</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Le Tribunal fédéral a déjà jugé qu¿une perte de maîtrise peut constituer un cas de peu de gravité suivant les circonstances du cas d¿espèce (ATF 127 II 302 consid. 3 p. 304). Il a précisé dans un arrêt du 29 novembre 2007 que la gravité de l¿infraction devait être qualifiée selon le degré de mise en danger de la sécurité d¿autrui et selon la faute de l¿intéressé et qu¿il n¿était par conséquent pas exclu qu¿une perte de maîtrise ne cause qu¿une mise en danger légère au sens de l¿art. 16a al. 1 let. a LCR (arrêt 1C_235/2007 consid. 2.2 ; JT 2007 525). Le Tribunal administratif a jugé, dans un arrêt CR.2006.0014 du 23 août 2006, que seul un avertissement devait être prononcé à l'encontre d'une conductrice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Le cas d¿espèce s¿apparente à la situation prédécrite puisque le recourant a été aveuglé par le soleil, ce qui ne lui a pas permis d¿apprécier immédiatement la situation et de freiner à temps. En outre par son comportement général, en particulier en manoeuvrant par la droite pour éviter une collision de plein fouet et laisser de l¿espace au véhicule suivant pour freiner, le recourant, qui circulait a une vitesse largement réduite compte tenu de la densité du trafic, n¿a pas créé de véritable mise en danger. Il en résulte que l¿infraction commise peut encore être qualifiée de légère au sens de l¿art. 16a al. 1 LCR. Compte tenu de l¿absence d¿antécédents dans les deux dernières années, la décision attaquée sera réformée en ce sens qu'un avertissement est prononcé à l'encontre du recourant en lieu et place du retrait de permis.</w:t>
      </w:r>
    </w:p>
    <w:p>
      <w:r>
        <w:rPr>
          <w:b/>
        </w:rPr>
        <w:t>E. 6</w:t>
      </w:r>
    </w:p>
    <w:p>
      <w:r>
        <w:t>Au vu de ce qui précède, le recours est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