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CR.2008.0154 vom 2. September 2008</w:t>
      </w:r>
    </w:p>
    <w:p>
      <w:r>
        <w:t>VD Tribunal cantonal, 2008-09-02, FR</w:t>
      </w:r>
    </w:p>
    <w:p>
      <w:r>
        <w:rPr>
          <w:b/>
        </w:rPr>
        <w:t xml:space="preserve">Quelle: </w:t>
      </w:r>
      <w:r>
        <w:t>https://mcp.opencaselaw.ch/entscheid/vd_omni_CR.2008.0154</w:t>
      </w:r>
    </w:p>
    <w:p>
      <w:r>
        <w:t>FR: VD_OMNI CR.2008.0154 du 2 septembre 2008</w:t>
      </w:r>
    </w:p>
    <w:p>
      <w:r>
        <w:t>IT: VD_OMNI CR.2008.0154 del 2 settembre 2008</w:t>
      </w:r>
    </w:p>
    <w:p>
      <w:pPr>
        <w:pStyle w:val="Heading2"/>
      </w:pPr>
      <w:r>
        <w:t>Regeste</w:t>
      </w:r>
    </w:p>
    <w:p>
      <w:r>
        <w:t>X.________ /Service des automobiles et de la navigation | Retrait préventif du permis de conduire confirmé à l'encontre d'une conductrice née en 1936 dénoncée par un médecin suite à une hospitalisation récente sur la base de soupçons d'alcoolo-dépendance, auxquels s'ajoutent des troubles cognitifs. Recours rejeté.</w:t>
      </w:r>
    </w:p>
    <w:p>
      <w:pPr>
        <w:pStyle w:val="Heading2"/>
      </w:pPr>
      <w:r>
        <w:t>Erwägungen</w:t>
      </w:r>
    </w:p>
    <w:p>
      <w:r>
        <w:rPr>
          <w:b/>
        </w:rPr>
        <w:t>E. 1</w:t>
      </w:r>
    </w:p>
    <w:p>
      <w:r>
        <w:t>a) Selon l¿art. 16d de la loi fédérale du 19 décembre 1958 sur la circulation routière (LCR; RS 741.01),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Le permis de conduire peut être retiré à titre préventif lorsqu¿il existe des doutes sérieux quant à l¿aptitude à conduire de l¿intéressé (art. 30 de l¿ordonnance fédérale du 27 octobre 1976 réglant l¿admission des personnes et des véhicules à la circulation routière - OAC; RS 741.51). Cette disposition a remplacé l¿ancien art. 35 al. 3 OAC qui prévoyait que le permis de conduire pouvait être retiré immédiatement à titre préventif jusqu¿à ce que les motifs d¿exclusion aient été élucidés. L¿art. 30 OAC nouveau a la même portée que l¿ancien art. 35 al. 3 OAC et ne fait que reprendre la définition du retrait préventif posée par la jurisprudence selon laquelle un tel retrait peut être ordonné lorsqu¿il existe des éléments objectifs qui font apparaître le conducteur comme une source particulière de danger pour les autres usagers de la route et suscitent de sérieux doutes quant à son aptitude à conduire (ATF 130 II 25; 125 II 396 consid. 3 p. 401; 492 consid. 2b p. 495/496; 122 II 359 consid. 3a p. 364). b) Le retrait préventif du permis de conduire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par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(arrêts CR.2007.0288 du 18 décembre 2007; CR 96.0072 du 1 er avril 1996 et les références citées; CR 97/113 du 26 juin 1997; CR 97/263 du 14 novembre 1997).</w:t>
      </w:r>
    </w:p>
    <w:p>
      <w:r>
        <w:rPr>
          <w:b/>
        </w:rPr>
        <w:t>E. 2</w:t>
      </w:r>
    </w:p>
    <w:p>
      <w:r>
        <w:t>La décision du SAN a été rendue sur la base essentiellement du rapport de la Fondation de Nant. Ce rapport médical met en évidence une dépendance à l¿alcool qui, même si elle a été entrecoupée de périodes d¿abstinence, a nécessité une hospitalisation récente. Ce soupçon d¿alcoolo-dépendance, auquel s¿ajoutent les troubles cognitifs (diminution des capacités attentionnelles ainsi que des fonctions exécutives) justifient que l¿aptitude à la conduite de la recourante fasse l¿objet d¿un examen approfondi, ce que l¿intéressée ne conteste d¿ailleurs pas. En pareil cas, la jurisprudence constante du Tribunal administratif conduit à confirmer les retraits préventifs prononcés par le SAN, non seulement dans les cas où la jurisprudence du Tribunal fédéral admet d¿emblée l¿existence d¿un soupçon concret et important d¿alcoolo-dépendance (en cas d'ivresse de 2,5 g ¿ ou deux ivresses de 1,6 g ¿ au moins en cinq ans selon les ATF 126 II 185 et 361), mais aussi lorsqu¿un fort soupçon d¿alcoolo-dépendance peut être posé, comme ici, par un diagnostic médical (v. arrêts CR.2006.0068 du 13 avril 2006, CR.2005.0067 du 4 mai 2005 ; CR.2004.0332 du 17 février 2005 ; CR.2005.0005 du 27 janvier 2005 ; CR.2004.0255 du 8 décembre 2004 ; CR.2004.0214 du 2 novembre 2004). Il s¿ensuit que la décision attaquée, rendue sur la base des éléments du rapport médical de la Fondation de Nant, est parfaitement conforme à la jurisprudence et doit être confirmée.</w:t>
      </w:r>
    </w:p>
    <w:p>
      <w:r>
        <w:rPr>
          <w:b/>
        </w:rPr>
        <w:t>E. 3</w:t>
      </w:r>
    </w:p>
    <w:p>
      <w:r>
        <w:t>Les considérants qui précèdent conduisent au rejet du recours aux frais de la recourante qui succombe et qui, vu l'issue de son pourvoi, n'a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