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CR.2008.0140 vom 18. März 2009</w:t>
      </w:r>
    </w:p>
    <w:p>
      <w:r>
        <w:t>VD Tribunal cantonal, 2009-03-18, FR</w:t>
      </w:r>
    </w:p>
    <w:p>
      <w:r>
        <w:rPr>
          <w:b/>
        </w:rPr>
        <w:t xml:space="preserve">Quelle: </w:t>
      </w:r>
      <w:r>
        <w:t>https://mcp.opencaselaw.ch/entscheid/vd_omni_CR.2008.0140</w:t>
      </w:r>
    </w:p>
    <w:p>
      <w:r>
        <w:t>FR: VD_OMNI CR.2008.0140 du 18 mars 2009</w:t>
      </w:r>
    </w:p>
    <w:p>
      <w:r>
        <w:t>IT: VD_OMNI CR.2008.0140 del 18 marzo 2009</w:t>
      </w:r>
    </w:p>
    <w:p>
      <w:pPr>
        <w:pStyle w:val="Heading2"/>
      </w:pPr>
      <w:r>
        <w:t>Regeste</w:t>
      </w:r>
    </w:p>
    <w:p>
      <w:r>
        <w:t>X. c/Service des automobiles et de la navigation | Le conducteur qui ne respecte pas la priorité du véhicule arrivant sur sa gauche dans un giratoire et provoque ainsi un accident, crée une mise en danger qui doit être qualifiée de moyennement grave. Retrait d'un mois confirmé.</w:t>
      </w:r>
    </w:p>
    <w:p>
      <w:pPr>
        <w:pStyle w:val="Heading2"/>
      </w:pPr>
      <w:r>
        <w:t>Erwägungen</w:t>
      </w:r>
    </w:p>
    <w:p>
      <w:r>
        <w:rPr>
          <w:b/>
        </w:rPr>
        <w:t>E. 1</w:t>
      </w:r>
    </w:p>
    <w:p>
      <w:r>
        <w:t>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Dans le cas particulier, le recourant n'a pas fait opposition au prononcé préfectoral sans citation du 2 novembre 2007. Il savait pourtant qu'une procédure de retrait de permis était ouverte à son encontre puisque le service des automobiles l'en avait informé par préavis du 5 octobre 2007. Il soutient cependant que le prononcé pénal a été rendu à l’issue d’une procédure très sommaire, que ce prononcé ne tient pas compte de tous les éléments ressortant du rapport de police et qu’il n’avait pas de raison de craindre un retrait de permis dès lors que le juge pénal avait retenu une violation simple des règles de la circulation. Il soutient également que le prononcé préfectoral se heurte aux faits constatés puisqu’il retient sa culpabilité alors que d’une part le conducteur de l’autre véhicule impliqué, Y.________, a déclaré ne pas avoir freiné avant le choc et d’autre part, que les dommages causés aux deux véhicules tels qu’ils ressortent du rapport de police montrent que le véhicule du recourant était déjà entièrement engagé dans le rond-point lorsque le choc a eu lieu. c) En l’espèce, dès lors que l’instruction menée par la cour, et plus particulièrement la vision locale, a montré que la décision attaquée était fondée pour les motifs évoqués ci-dessous, la question de savoir si l’autorité administrative pouvait s’écarter des faits retenus dans le jugement pénal souffre de demeurer indécise.</w:t>
      </w:r>
    </w:p>
    <w:p>
      <w:r>
        <w:rPr>
          <w:b/>
        </w:rPr>
        <w:t>E. 2</w:t>
      </w:r>
    </w:p>
    <w:p>
      <w:r>
        <w:t>a) Aux termes de l'art. 41b al. 1 de l'ordonnance fédérale du 13 novembre 1962 sur les règles de la circulation routière (OCR; RS 741.11), le conducteur, avant d'entrer dans un carrefour à sens giratoire, doit ralentir et accorder la priorité aux véhicules qui, sur sa gauche, surviennent dans le giratoire. Dans un arrêt du 3 juillet 2004 (6P.75/2004 6S.204/2004), le Tribunal fédéral a  exposé qu’il importait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(ATF 115 IV 139 consid. 2b et 2d). Le Tribunal fédéral a ultérieurement confirmé cette jurisprudence mais l'a nuancée au regard du principe de la confiance déduit de l'art. 26 al. 1 LCR. Il a relevé que sinon, prise à la lettre, elle aurait une portée exorbitante dans la mesure où le droit de priorité d'un véhicule venant de la gauche serait quasi absolu; ainsi, le conducteur qui s'engage sur un giratoire n'a notamment pas à compter, sauf indice contraire, avec le fait qu'un véhicule va surgir sur sa gauche de façon inattendue à une vitesse excessive ou qu'un véhicule visible va subitement accélérer pour forcer le passage (ATF 124 IV 81 consid. 2b). b) En l'espèce, il ressort des pièces du dossier ainsi que de la vision locale,  lors de laquelle a pu être déterminé le parcours effectué par chacun des véhicules sur le giratoire avant l’impact, que le conducteur Y.________, circulant en direction de 3.________ et venant sur la gauche du recourant, était déjà largement engagé dans le giratoire lorsque ce dernier s’y est lui-même engagé ; le véhicule de Monsieur Y.________ était par ailleurs visible, le giratoire, dégagé, ne posant pas de problème de visibilité. Le fait que le recourant ait été lui-même bien engagé lorsque le choc a eu lieu ne modifie en rien cet état de fait. Au demeurant, on ne peut reprocher à  M. Y.________ de n’avoir pas freiné avant l’impact : prioritaire et visible, il ne devait pas compter avec la survenance du véhicule du recourant. En réalité, dès lors que le recourant a admis ne pas avoir vu le véhicule de M. Y.________ alors que la visibilité est bonne à cet endroit, il faut admettre qu’il n’était pas suffisamment attentif à la route. Le tribunal retiendra par conséquent une violation par le recourant de la règle de priorité posée par l’art. 41b OCR.</w:t>
      </w:r>
    </w:p>
    <w:p>
      <w:r>
        <w:rPr>
          <w:b/>
        </w:rPr>
        <w:t>E. 3</w:t>
      </w:r>
    </w:p>
    <w:p>
      <w:r>
        <w:t>a) 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L’infraction moyennement grave peut concrètement être composée d’une mise en danger légère et d’une faute moyennement grave ou grave, d’une mise en danger moyennement grave et d’une faute légère, moyennement grave ou grave ou d’une mise en danger grave et d’une faute légère ou moyennement grave (sur ces points : RDAF, 2004, vol. I p. 392).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En l'espèce, le recourant n'a pas respecté la priorité du véhicule arrivant sur sa gauche dans un giratoire. Il a ainsi violé les règles de la circulation routière mentionnées au considérant 2. Par son comportement, il a provoqué un accident qui aurait pu avoir des conséquences plus sérieuses  que des dégâts matériels, de sorte qu’il a créé une mise en danger concrète, celle-ci devant à tout le moins être qualifiée de moyennement grave (voir notamment CR.2008.0164 du 8 janvier 2009 ; CR.2007.0277 du 30 avril 2008). Dès lors qu’une telle mise en danger suffit à retenir une infraction moyennement grave, il n’y a pas lieu de déterminer si la faute doit être qualifiée de légère ou de moyennement grave. Au regard de ces éléments, à savoir la faute commise et la mise en danger concrète créée, c’est à juste titre que l’autorité intimée a qualifié l’infraction commise de moyennement grave et a prononcé une mesure fondée sur l’art. 16b LCR. S’agissant de la durée de la mesure, dès lors que la suspension d’un mois correspond au minimum légal prévu par le législateur en cas d’infraction moyennement grave, celle-ci ne peut être réduite au motif que l’intéressé jouit d’une réputation sans tache en tant que conducteur. Ce dernier élément ne jouera un rôle que pour fixer la durée du retrait du permis de conduire (ATF 128 II 282), la durée minimale du retrait ne pouvant toutefois être réduite (art. 16 al. 3 LCR).</w:t>
      </w:r>
    </w:p>
    <w:p>
      <w:r>
        <w:rPr>
          <w:b/>
        </w:rPr>
        <w:t>E. 4</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