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CR.2008.0076 vom 25. Juni 2008</w:t>
      </w:r>
    </w:p>
    <w:p>
      <w:r>
        <w:t>VD Tribunal cantonal, 2008-06-25, FR</w:t>
      </w:r>
    </w:p>
    <w:p>
      <w:r>
        <w:rPr>
          <w:b/>
        </w:rPr>
        <w:t xml:space="preserve">Quelle: </w:t>
      </w:r>
      <w:r>
        <w:t>https://mcp.opencaselaw.ch/entscheid/vd_omni_CR.2008.0076</w:t>
      </w:r>
    </w:p>
    <w:p>
      <w:r>
        <w:t>FR: VD_OMNI CR.2008.0076 du 25 juin 2008</w:t>
      </w:r>
    </w:p>
    <w:p>
      <w:r>
        <w:t>IT: VD_OMNI CR.2008.0076 del 25 giugno 2008</w:t>
      </w:r>
    </w:p>
    <w:p>
      <w:pPr>
        <w:pStyle w:val="Heading2"/>
      </w:pPr>
      <w:r>
        <w:t>Regeste</w:t>
      </w:r>
    </w:p>
    <w:p>
      <w:r>
        <w:t>X.________ /Service des automobiles et de la navigation | Les règles fixées par la jurisprudence du Tribunal fédéral en matière d'excès de vitesse sont également applicables aux trains routiers et aux véhicules articulés. Retrait de trois mois confirmé pour conduite d'une voiture avec remorque à une vitesse de 117 km/h sur autoroute, alors que la vitesse maximale autorisée dans une telle configuration est limitée à 80 km/h.</w:t>
      </w:r>
    </w:p>
    <w:p>
      <w:pPr>
        <w:pStyle w:val="Heading2"/>
      </w:pPr>
      <w:r>
        <w:t>Erwägungen</w:t>
      </w:r>
    </w:p>
    <w:p>
      <w:r>
        <w:rPr>
          <w:b/>
        </w:rPr>
        <w:t>E. 30</w:t>
      </w:r>
    </w:p>
    <w:p>
      <w:r>
        <w:t>km/h et plus à l¿extérieur d¿une localité et de 35 km/h et plus sur autoroute constitue une violation grave des règles de la circulation et entraîne un retrait obligatoire du permis de conduire sans égards aux circonstances concrètes (ATF 123 II 37; ATF 124 II 97; ATF 124 II 259), que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 qu'une moindre sévérité peut être justifiée par des circonstances exceptionnelles, telles que celles susceptibles d'entraîner une application analogique de l'art. 66bis CP (actuellement art. 54 CP) ou une erreur compréhensible sur la vitesse autorisée (ATF 124 II 475; ATF 124 II 98; ATF 126 II 196), que, conformément au nouvel art. 16c al. 2 lit. a LCR, entré en vigueur le 1 er janvier 2005, le permis de conduire est retiré pour une durée de trois mois au minimum après une infraction grave, que le Tribunal fédéral a jugé dans l'ATF 132 II 234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(CR.2006.0079 du 7 avril 2006), qu¿en l¿espèce le recourant a dépassé de 37 km/h la vitesse maximale autorisée pour les trains routiers, que, ce faisant, il a commis, selon la jurisprudence précitée, une infraction grave, de sorte qu¿il doit faire l¿objet d¿un retrait de permis de trois mois au moins sans égards aux circonstances concrètes, y compris l'utilité professionnelle que peut revêtir le permis de conduire, que la décision attaquée s'en tient à cette durée minimale, que le recours apparaît ainsi d'emblée manifestement mal fondé et peut être rejeté sans autre mesure d'instruction (art. 35a de la loi du 18 décembre 1989 sur la juridiction et la procédure administratives [LJPA]), que l¿émolument sera toutefois réduit pour tenir compte du caractère sommaire de la présente procédure, arrête : I. Le recours est rejeté. II. La décision du Service des automobiles et de la navigation du 10 mars 2008 est confirmée. III. Un émolument de 400 (quatre cents) francs est mis à la charge du recourant. IV. Il n'est pas alloué de dépens. Lausanne, le 25 juin 2008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