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CR.2007.0314 vom 19. März 2008</w:t>
      </w:r>
    </w:p>
    <w:p>
      <w:r>
        <w:t>VD Tribunal cantonal, 2008-03-19, FR</w:t>
      </w:r>
    </w:p>
    <w:p>
      <w:r>
        <w:rPr>
          <w:b/>
        </w:rPr>
        <w:t xml:space="preserve">Quelle: </w:t>
      </w:r>
      <w:r>
        <w:t>https://mcp.opencaselaw.ch/entscheid/vd_omni_CR.2007.0314</w:t>
      </w:r>
    </w:p>
    <w:p>
      <w:r>
        <w:t>FR: VD_OMNI CR.2007.0314 du 19 mars 2008</w:t>
      </w:r>
    </w:p>
    <w:p>
      <w:r>
        <w:t>IT: VD_OMNI CR.2007.0314 del 19 marzo 2008</w:t>
      </w:r>
    </w:p>
    <w:p>
      <w:pPr>
        <w:pStyle w:val="Heading2"/>
      </w:pPr>
      <w:r>
        <w:t>Regeste</w:t>
      </w:r>
    </w:p>
    <w:p>
      <w:r>
        <w:t>X.________ /Service des automobiles et de la navigation | Circuler sur plusieurs centaines de mètres sur l'autoroute à une vitesse de 120 km/h à une distance variant de 5 à 10 mètres du véhicule précédant constitue une infraction grave. Peu importe que le préfet n'a pas retenu une violation grave de la LCR. En effet, l'autorité administrative n'est pas liée par une décision pénale qui méconnait manifestement la jurisprudence du Tribunal fédéral.</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Dans une précédente jurisprudence,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Il en va a fortiori de même, lorsque la distance est comprise entre 5 et 10 mètres (dans ce sens arrêts CR.2005.0232 du 28 novembre 2007; CR.2007.0082 du 15 octobre 2007; CR.2007.0125 du 1 er octobre 2007; CR.2006.0248 du 30 avril 2007; CR.2006.0215 du 27 décembre 2006).</w:t>
      </w:r>
    </w:p>
    <w:p>
      <w:r>
        <w:rPr>
          <w:b/>
        </w:rPr>
        <w:t>E. 3</w:t>
      </w:r>
    </w:p>
    <w:p>
      <w:r>
        <w:t>En l’espèce, il ressort du rapport de police que le recourant a circulé à environ 120 km/h sur plusieurs centaines de mètres à une distance variant de 5 à 10 mètres du véhicule le précédant. Dans ses observations et son recours, il ne conteste pas cette infraction. Il a ainsi enfreint les dispositions citées au considérant 2. S’agissant de la faute commise, le recourant, en circulant à une distance qui ne lui aurait pas permis d’éviter une collision en cas de freinage, même léger, de l’automobiliste qui le précédait, a violé son devoir de prudence et créé ainsi une mise en danger abstraite importante du trafic. Conformément à la jurisprudence précitée, l’infraction commise par le recourant doit être qualifiée de grave au sens de l’art. 16c al. 1 let. 1 LCR et entraîne un retrait de permis de conduire de trois mois au minimum en application de l’art. 16c al. 2 let. a LCR. Comme dans l'arrêt CR.2006.0215 précité, le recourant ne peut pas par ailleurs se prévaloir du fait que le préfet n’a pas retenu une violation grave des règles de la circulation au sens de l’art. 90 ch. 2 LCR à son encontre. En effet, l’autorité administrative n’est pas liée par la décision pénale qui méconnaît manifestement la jurisprudence en matière de distance insuffisante sur l’autoroute.</w:t>
      </w:r>
    </w:p>
    <w:p>
      <w:r>
        <w:rPr>
          <w:b/>
        </w:rPr>
        <w:t>E. 4</w:t>
      </w:r>
    </w:p>
    <w:p>
      <w:r>
        <w:t>Enfin, le recourant conteste l'autre infraction qui lui est reprochée dans la décision attaquée et que le préfet a aussi retenu à son encontre, à savoir le dépassement sans égards d'un automobiliste pour sortir de l'autoroute. Toutefois, compte tenu du fait que l'infraction non contestée de non-respect d'une distance suffisante entraîne à elle seule un retrait de permis de trois mois et que la décision attaquée s'en tient à cette durée, la question de la qualification du dépassement sans égards peut rester ouverte.</w:t>
      </w:r>
    </w:p>
    <w:p>
      <w:r>
        <w:rPr>
          <w:b/>
        </w:rPr>
        <w:t>E. 5</w:t>
      </w:r>
    </w:p>
    <w:p>
      <w:r>
        <w:t>La décision attaquée s’en tenant à un retrait de permis d’une durée égale au minimum légal, elle ne peut être réduite (art. 16 al. 3 LCR) et doit dès lors être confirmée. Le recours est ainsi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