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CR.2007.0288 vom 18. Dezember 2007</w:t>
      </w:r>
    </w:p>
    <w:p>
      <w:r>
        <w:t>VD Tribunal cantonal, 2007-12-18, FR</w:t>
      </w:r>
    </w:p>
    <w:p>
      <w:r>
        <w:rPr>
          <w:b/>
        </w:rPr>
        <w:t xml:space="preserve">Quelle: </w:t>
      </w:r>
      <w:r>
        <w:t>https://mcp.opencaselaw.ch/entscheid/vd_omni_CR.2007.0288</w:t>
      </w:r>
    </w:p>
    <w:p>
      <w:r>
        <w:t>FR: VD_OMNI CR.2007.0288 du 18 décembre 2007</w:t>
      </w:r>
    </w:p>
    <w:p>
      <w:r>
        <w:t>IT: VD_OMNI CR.2007.0288 del 18 dicembre 2007</w:t>
      </w:r>
    </w:p>
    <w:p>
      <w:pPr>
        <w:pStyle w:val="Heading2"/>
      </w:pPr>
      <w:r>
        <w:t>Regeste</w:t>
      </w:r>
    </w:p>
    <w:p>
      <w:r>
        <w:t>X.________ /Service des automobiles et de la navigation | Il suffit qu'il existe des doutes sérieux quant à la capacité de conduire pour que le retrait préventif se justifie. En l'espèce, l'existence de troubles psychiques graves, le refus du patient de se soigner par le passé, le risque d'un nouveau refus du suivi psychiatrique et du traitement médicamenteux font naître un haut risque de troubles du comportement incompatibles avec la conduite, ce qui justifie un retrait de permis à titre préventif.</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La décision ordonnant le retrait du permis de conduire à titre préventif est intervenue le 19 septembre 2007 et se fonde sur des faits dénoncés en date du 10 septembre 2007. La loi fédérale du 19 décembre 1958 sur la circulation routière (LCR; RS 174.01) dont les dispositions modifiées sont entrées en vigueur le 1 er janvier 2005 (RO 2004, p. 2849), s’applique en l’occurrence.</w:t>
      </w:r>
    </w:p>
    <w:p>
      <w:r>
        <w:rPr>
          <w:b/>
        </w:rPr>
        <w:t>E. 3</w:t>
      </w:r>
    </w:p>
    <w:p>
      <w:r>
        <w:t>Selon l’art. 16d LCR,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 teneur de cet article n’est pas nouvelle, puisqu’elle ne fait que reprendre celle antérieure à la révision des anciens art. 14 al. 2 et 16 al. 1 LCR (applicables avant la modification légale du 14 décembre 2001) fixant les conditions de délivrance et de retrait des permis de conduire.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dans sa nouvelle teneur du 28 avril 2004, entrée en vigueur le 1 er janvier 2005 (RO 2007, p. 2853),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Le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par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(CR 96/0072 du 1 er avril 1996 et les références citées; CR 97/113 du 26 juin 1997; CR 97/263 du 14 novembre 1997).</w:t>
      </w:r>
    </w:p>
    <w:p>
      <w:r>
        <w:rPr>
          <w:b/>
        </w:rPr>
        <w:t>E. 4</w:t>
      </w:r>
    </w:p>
    <w:p>
      <w:r>
        <w:t>En l’espèce, la décision querellée fait suite à l’avis du médecin psychiatre du recourant qui signale les troubles psychiques graves dont souffre son patient et son manque de compliance à la médication. Le médecin conseil de l’autorité intimée n’est pas intervenu au cours de cette procédure préalable. Le recourant admet avoir vécu une période difficile et stressante. Il conteste en revanche être inapte à la conduite, ce que corrobore son père. Le médecin généraliste, qui se borne à retranscrire les déclarations de son patient, relève que celui-ci se sent stabilisé et prend régulièrement ses médicaments.</w:t>
      </w:r>
    </w:p>
    <w:p>
      <w:r>
        <w:rPr>
          <w:b/>
        </w:rPr>
        <w:t>E. 5</w:t>
      </w:r>
    </w:p>
    <w:p>
      <w:r>
        <w:t>En matière de retrait du permis à titre préventif, il suffit qu'il existe des doutes sérieux quant à la capacité de conduire pour que le retrait préventif se justifie; à ce stade de la procédure, l'inaptitude à la conduite doit être rendue vraisemblable. Dans le présent cas, les éléments au dossier font naître des doutes quant à l’aptitude du recourant à conduire en toute sécurité: le recourant, né en 1980, est suivi sur le plan psychiatrique depuis trois ans déjà; il bénéficie d'un traitement de Risperdal. Le médecin psychiatre n'énonce pas de diagnostic précis, mais évoque des troubles psychiques graves. Ces seules indications permettent de considérer qu'il s'agit vraisemblablement de troubles qui requièrent un traitement médicamenteux scrupuleusement suivi; de plus, même sous médication, des situations extérieures particulièrement stressantes peuvent déséquilibrer les patients qui seraient enclins à refuser le suivi psychiatrique et le traitement médicamenteux. Dans ce contexte de faits, il existe effectivement un haut risque que le recourant renonce à prendre toute médication et présente à nouveau des troubles du comportement incompatibles avec la conduite automobile. Ce risque apparaît d'autant plus réel et actuel que le recourant a exposé son intention de quitter le médecin psychiatre qui le suivait jusqu'ici.</w:t>
      </w:r>
    </w:p>
    <w:p>
      <w:r>
        <w:rPr>
          <w:b/>
        </w:rPr>
        <w:t>E. 6</w:t>
      </w:r>
    </w:p>
    <w:p>
      <w:r>
        <w:t>Des considérants qui précèdent, il résulte que la décision attaquée doit être confirmée et le dossier renvoyé à l'autorité intimée afin qu'elle poursuive l'instruction par la mise en œuvre de l'expertise déjà ordonnée. Le recours étant rejeté, les frais de justice seront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