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CR.2007.0231 vom 26. November 2007</w:t>
      </w:r>
    </w:p>
    <w:p>
      <w:r>
        <w:t>VD Tribunal cantonal, 2007-11-26, FR</w:t>
      </w:r>
    </w:p>
    <w:p>
      <w:r>
        <w:rPr>
          <w:b/>
        </w:rPr>
        <w:t xml:space="preserve">Quelle: </w:t>
      </w:r>
      <w:r>
        <w:t>https://mcp.opencaselaw.ch/entscheid/vd_omni_CR.2007.0231</w:t>
      </w:r>
    </w:p>
    <w:p>
      <w:r>
        <w:t>FR: VD_OMNI CR.2007.0231 du 26 novembre 2007</w:t>
      </w:r>
    </w:p>
    <w:p>
      <w:r>
        <w:t>IT: VD_OMNI CR.2007.0231 del 26 novembre 2007</w:t>
      </w:r>
    </w:p>
    <w:p>
      <w:pPr>
        <w:pStyle w:val="Heading2"/>
      </w:pPr>
      <w:r>
        <w:t>Regeste</w:t>
      </w:r>
    </w:p>
    <w:p>
      <w:r>
        <w:t>X.________ /Service des automobiles et de la navigation | Doit être qualifiée de légère, et non de moyennement grave, la faute du conducteur qui, constatant un bouchon, s'arrête sur la bande d'arrêt d'urgence et y recule sur une courte distance jusqu'à la surface interdite pour ensuite emprunter normalement la voie de décélération. En effet, bien que cette manoeuvre soit illicite et quelque peu risquée, la mise en danger du trafic n'est pas aussi importante que dans le cas où l'automobiliste remonte en marche-arrière la voie d'accélération.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En effectuant une marche arrière sur la bande d'arrêt d'urgence d'autoroute, le recourant a enfreint les dispositions de l'art. 36 de l'ordonnance du 13 novembre 1962 sur les règles de la circulation routière (OCR) qui interdisent de faire demi-tour et marche arrière sur les autoroutes et semi-autoroutes (al. 1) et qui prescrivent l'utilisation de la bande d'arrêt d'urgence et des places d'arrêt prévues pour les véhicules en panne et signalées comme telles qu'en cas de nécessité absolue (art. 3). Le recourant ne conteste pas avoir reculé sur la bande d'arrêt d'urgence sur plusieurs mètres pour sortir de l'autoroute encombrée. Ce faisant, il fait valoir que sa manoeuvre n'a gêné personne.</w:t>
      </w:r>
    </w:p>
    <w:p>
      <w:r>
        <w:rPr>
          <w:b/>
        </w:rPr>
        <w:t>E. 3</w:t>
      </w:r>
    </w:p>
    <w:p>
      <w:r>
        <w:t>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De jurisprudence constante, le Tribunal administratif considère que le fait de reculer sur la bande d’arrêt d’urgence de l’autoroute jusqu'à une voie d'accès en cas de bouchon ne constitue pas un cas de peu de gravité susceptible d'un avertissement: un tel comportement crée en effet une mise en danger du trafic, si ce n’est concrète, du moins en tout cas abstraite, car il fait naître un risque important de collision avec les usagers s’engageant normalement sur l’autoroute et ne s’attendant pas à trouver sur leur route un véhicule en train de reculer (CR.1999.0128 du 7 septembre 1999; CR.2001.0264 du 30 septembre 2003; CR.2002.0137 du 7 janvier 2004; CR.2002.0158 du 17 avril 2003; CR.2003.0236 du 3 septembre 2004; CR. 2004.0121 du 6 juillet 2004 et CR.2002.0294 du 8 décembre 2004). Toutefois, le cas d'espèce diverge de la plupart des exemples précités dans la mesure où le recourant a reculé sur la bande d'arrêt d'urgence sur une courte distance jusqu'à la surface interdite pour ensuite emprunter normalement la voie de décélération, et non pour remonter une entrée. Il en résulte que la mise en danger du trafic n'est pas aussi importante, cette manœuvre n'étant pas suffisamment grave pour justifier un retrait de permis (v. pour un cas similaire, arrêt CR.2003.0236 du 3 septembre 2004, dans lequel le tribunal a néanmoins confirmé un retrait d'un mois, l'intéressé ayant téléphoné pendant qu'il effectuait sa marche arrière). La mise en danger ne saurait toutefois être qualifiée d'inexistante du moment qu'aucun usager de la route n'a été gêné par cette manœuvre; il suffit qu'elle soit abstraite pour reconnaître l'existence d'une faute. Ainsi, la faute du recourant réside dans le fait d'avoir effectué intentionnellement une manœuvre illicite et quelque peu risquée, dans l'unique but de gagner du temps. Tout bien considéré, le tribunal considère qu'il s'agit-là d'une faute légère, susceptible d'un avertissement, compte tenu également de l'absence d'antécédents du recourant.</w:t>
      </w:r>
    </w:p>
    <w:p>
      <w:r>
        <w:rPr>
          <w:b/>
        </w:rPr>
        <w:t>E. 4</w:t>
      </w:r>
    </w:p>
    <w:p>
      <w:r>
        <w:t>Les considérants qui précèdent conduisent à l'admission partielle du recours. Le recourant ayant conclut à l'annulation de la décision, la moitié des frais sera laissée à la charge de l'Etat et l'autre mise à sa charge. N'ayant pas procédé avec l'assistance d'un homme de loi,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