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CR.2007.0222 vom 6. November 2007</w:t>
      </w:r>
    </w:p>
    <w:p>
      <w:r>
        <w:t>VD Tribunal cantonal, 2007-11-06, FR</w:t>
      </w:r>
    </w:p>
    <w:p>
      <w:r>
        <w:rPr>
          <w:b/>
        </w:rPr>
        <w:t xml:space="preserve">Quelle: </w:t>
      </w:r>
      <w:r>
        <w:t>https://mcp.opencaselaw.ch/entscheid/vd_omni_CR.2007.0222</w:t>
      </w:r>
    </w:p>
    <w:p>
      <w:r>
        <w:t>FR: VD_OMNI CR.2007.0222 du 6 novembre 2007</w:t>
      </w:r>
    </w:p>
    <w:p>
      <w:r>
        <w:t>IT: VD_OMNI CR.2007.0222 del 6 novembre 2007</w:t>
      </w:r>
    </w:p>
    <w:p>
      <w:pPr>
        <w:pStyle w:val="Heading2"/>
      </w:pPr>
      <w:r>
        <w:t>Regeste</w:t>
      </w:r>
    </w:p>
    <w:p>
      <w:r>
        <w:t>X.________ c/Service des automobiles et de la navigation | Un excès de 58 km/h (marge de sécurité déduite) sur une route secondaire où la vitesse est limitée à 80 km/h constitue une faute grave, de sorte que le recourant doit faire l'objet d'un retrait de permis de trois mois au moins, sans égards aux circonstances concrètes. Si l'on considère qu'un dépassement de 30 km/h de la vitesse maximale hors localité constitue déjà un cas grave, l'excès commis par le recourant (soit près du double) est très important. La gravité de son acte justifie un retrait sensiblement supérieur au minimum légal. L'utilité professionnelle du permis et les bons antécédents du recourant ne sauraient faire complètement abstration de la gravité du dépassement commis. Retrait du permis de conduire pour une durée de quatre mois confirmé.</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faits reprochés au recourant datent du 27 avril 2007. Par conséquent, ils tombent sous le coup de la loi fédérale du 19 décembre 1958 sur la circulation routière (LCR; RS 174.01) dont les dispositions modifiées sont entrées en vigueur le 1 er janvier 2005 (RO 2004, p. 2849).</w:t>
      </w:r>
    </w:p>
    <w:p>
      <w:r>
        <w:rPr>
          <w:b/>
        </w:rPr>
        <w:t>E. 3</w:t>
      </w:r>
    </w:p>
    <w:p>
      <w:r>
        <w:t>Le Tribunal fédéral a récapitulé les règles fixées par la jurisprudence dans le domaine des excès de vitesse dans un arrêt (ATF 124 II 475) :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des localités, de 30 km/h et plus à l’extérieur des localités et de 35 km/h et plus sur l'autoroute constitue objectivement, sans égards aux circonstances concrètes, une violation grave des règles de la circulation et entraîne un retrait obligatoire du permis de conduire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ATF 124 II 97; ATF 123 II 37).</w:t>
      </w:r>
    </w:p>
    <w:p>
      <w:r>
        <w:rPr>
          <w:b/>
        </w:rPr>
        <w:t>E. 4</w:t>
      </w:r>
    </w:p>
    <w:p>
      <w:r>
        <w:t>Conformément au nouvel art. 16c al. 2 let. a LCR, le permis de conduire est retiré pour une durée de trois mois au minimum après une infraction grave. M 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Il faut donc en tirer la conclusion que, même s'il possède des antécédents irréprochables depuis de longues années, le conducteur qui commet un excès de vitesse de 35 km/h hors localité encourt un retrait de permis de trois mois, sans égards aux circonstances concrètes du cas d’espèce, l'utilité professionnelle de son permis de conduire ne jouant d’ailleurs aucun rôle non plus. C'est d'ailleurs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(CR.2005.0177 du 31 janvier 2006; CR.2006.0079 du 29 juin 2006). En l’espèce, le recourant a dépassé de 58 km/h la vitesse maximale autorisée hors des localités. Ce faisant, il a commis, selon la jurisprudence précitée, une infraction grave, de sorte qu’il doit faire l’objet d’un retrait de permis de trois mois au moins, sans égards aux circonstances concrètes.</w:t>
      </w:r>
    </w:p>
    <w:p>
      <w:r>
        <w:rPr>
          <w:b/>
        </w:rPr>
        <w:t>E. 5</w:t>
      </w:r>
    </w:p>
    <w:p>
      <w:r>
        <w:t>Le recourant ne conteste pas l’excès de vitesse commis, ni même le principe du retrait de permis ordonné à son encontre. Il demande que la durée en soit réduite. a) 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 durée minimale du retrait ne pouvant toutefois être réduite. L’autorité intimée a estimé que la faute commise par le recourant était suffisamment grave pour justifier de s’écarter sensiblement du minimum légal de trois mois et d’augmenter la durée du retrait à quatre mois. b) En l’occurrence, l’excès de vitesse est important. Si l’on considère qu’un excès de vitesse constitue un cas grave hors des localités à partir d’un dépassement de la vitesse maximale de 30 km/h, le tribunal constate que le recourant a commis un excès de vitesse de 58 km/h, soit près du double de la limite fixée par la jurisprudence pour le cas grave. La mise en danger abstraite créée par un tel comportement est donc importante. En circulant à une vitesse aussi élevée, le recourant ne pouvait pas ne pas se rendre compte de la gravité de l’infraction qu’il était en train de commettre: le compteur de vitesse affichait une vitesse de l’ordre de 140 km/h. Il ne s’agit dès lors en aucun cas d’un excès de vitesse par inadvertance ou distraction. Au demeurant, la situation familiale du recourant (l'hospitalisation en urgence d'un oncle) explique pour partie l'excès commis, mais ne justifie pas la mise en danger des autres usagers de la route. La gravité de cet excès de vitesse appelle par conséquent une mesure d’une certaine sévérité. S’agissant des antécédents, on peut certes, au vu du temps écoulé, faire abstraction des avertissements prononcés et relever que le recourant conduit depuis plus de seize ans. c) Le recourant invoque enfin l’utilité professionnelle que présente pour lui la possession de son permis de conduire. Selon la jurisprudence du Tribunal fédéral,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v. aussi l'arrêt cantonal CR.2006.0265 du 16 janvier 2007 et les références citées). En l’espèce, même si le recourant est amené fréquemment à se déplacer pour des raisons professionnelles, il ne se retrouvera pas empêché d'exercer ni sa profession de plâtrier-peintre, ni son activité d’administrateur de la société en cas de retrait. Dans ses écritures, le recourant signale que son entreprise compte une douzaine de véhicules et une trentaine d’employés, manifestement à même de le conduire, cas échant, sur le chantiers. Le tribunal considère cependant que la fonction d’administrateur implique pour le recourant de fréquents et d'importants déplacements. Dans ces conditions, le besoin professionnel de conduire du recourant doit aussi, mais de manière limitée, être pris en compte. Ainsi eu égard à toutes les circonstances du cas présent, une augmentation de la durée du retrait de permis d’un mois par rapport au minimum légal de trois mois prend suffisamment compte de l’utilité professionnelle du permis et des bons antécédents du recourant, tous éléments qui ne peuvent suffire à faire totalement abstraction de la gravité de l’excès de vitesse commis.</w:t>
      </w:r>
    </w:p>
    <w:p>
      <w:r>
        <w:rPr>
          <w:b/>
        </w:rPr>
        <w:t>E. 6</w:t>
      </w:r>
    </w:p>
    <w:p>
      <w:r>
        <w:t>Tout bien pesé, le tribunal estime par conséquent qu’un retrait de permis de quatre mois n’est pas disproportionné par rapport à l’ensemble des circonstances. La décision attaquée doit dès lors être confirmée et le recours rejeté au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