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CR.2007.0209 vom 30. Juni 2008</w:t>
      </w:r>
    </w:p>
    <w:p>
      <w:r>
        <w:t>VD Tribunal cantonal, 2008-06-30, FR</w:t>
      </w:r>
    </w:p>
    <w:p>
      <w:r>
        <w:rPr>
          <w:b/>
        </w:rPr>
        <w:t xml:space="preserve">Quelle: </w:t>
      </w:r>
      <w:r>
        <w:t>https://mcp.opencaselaw.ch/entscheid/vd_omni_CR.2007.0209</w:t>
      </w:r>
    </w:p>
    <w:p>
      <w:r>
        <w:t>FR: VD_OMNI CR.2007.0209 du 30 juin 2008</w:t>
      </w:r>
    </w:p>
    <w:p>
      <w:r>
        <w:t>IT: VD_OMNI CR.2007.0209 del 30 giugno 2008</w:t>
      </w:r>
    </w:p>
    <w:p>
      <w:pPr>
        <w:pStyle w:val="Heading2"/>
      </w:pPr>
      <w:r>
        <w:t>Regeste</w:t>
      </w:r>
    </w:p>
    <w:p>
      <w:r>
        <w:t>X.________ /Service des automobiles et de la navigation | Commet une faute de gravité moyenne la conductrice qui, devant un brusque ralentissement, ne parvient pas à éviter la collision avec le véhicule qui la précède.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119 Ib 158 consid. 3 c/aa; 106 Ib 398 consid. 2; 105 Ib 19 consid. 1a). Lorsque l'appréciation juridique dépend très fortement de l'appréciation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w:t>
      </w:r>
    </w:p>
    <w:p>
      <w:r>
        <w:rPr>
          <w:b/>
        </w:rPr>
        <w:t>E. 3</w:t>
      </w:r>
    </w:p>
    <w:p>
      <w:r>
        <w:t>La recourante, qui ne conteste pas la perte de maîtrise, soutient qu'elle roulait à une vitesse adaptée aux circonstances et tenait une distance respectable avec la voiture qui la précédait. Ce point de vue, qu'aucun élément ne vient conforter, se heurte manifestement aux faits retenus par l'autorité pénale. Si elle entendait contester ces faits ou leur appréciation, il lui incombait de recourir contre le prononcé préfectoral du 26 septembre 2007, ce d'autant plus que l'instruction de la présente cause avait alors été suspendue dans l'attente de l'issue pénale. Dès lors, la cour de céans s'en tiendra à la version retenue par le préfet. Reste à examiner la gravité de la faute de la recourante. Cette dernière affirme que sa faute serait de gravité moyenne, s'appuyant sur le prononcé préfectoral qui retient une violation simple des règles de la circulation routière (art. 90 ch. 1 LCR).</w:t>
      </w:r>
    </w:p>
    <w:p>
      <w:r>
        <w:rPr>
          <w:b/>
        </w:rPr>
        <w:t>E. 4</w:t>
      </w:r>
    </w:p>
    <w:p>
      <w:r>
        <w:t>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v. arrêt 6A.16/2006 du Tribunal fédéral du 6 avril 2006).</w:t>
      </w:r>
    </w:p>
    <w:p>
      <w:r>
        <w:rPr>
          <w:b/>
        </w:rPr>
        <w:t>E. 5</w:t>
      </w:r>
    </w:p>
    <w:p>
      <w:r>
        <w:t>En l'occurrence, la faute commise par la recourante réside dans le fait que, devant un brusque ralentissement du trafic, elle n'a pas pu éviter la collision malgré un freinage d'urgence en raison d'une distance de sécurité insuffisante. Même si la recourante n'a pas talonné l'autre véhicule à très courte distance, il n'en reste pas moins que la distance de sécurité n'était pas suffisante, puisqu'elle n'a pas réussi à s'arrêter sans encombre. En pareil cas, le Tribunal administratif (devenu depuis lors la Cour de droit administratif et public) considère en général que la faute commise constitue à tout le moins une faute moyenne (qu'il y ait eu ou non accident), car un tel comportement va clairement à l'encontre des règles élémentaires de prudence que se doit de respecter tout conducteur circulant sur l'autoroute (arrêts CR.2006.0080 du 5 décembre 2006; CR.2002.0259 du 13 septembre 2004; CR.2003.0147 du 15 octobre 2003; CR.2003.0034 du 25 juillet 2003; CR.2000.0261 du 13 février 2002; CR.2000.0289 du 17 octobre 2001; CR.2001.0102 du 3 mai 2001; CR.2000.0176 du 17 avril 2001; CR.2000.0124 du 12 mars 2001; CR.2000.0079 du 22 janvier 2001; CR.1998.0041 du 21 janvier 1999; CR.1998.0148 du 19 août 1998). Néanmoins, dans un certain nombre d¿arrêts portant sur le non respect de la distance de sécurité sur l¿autoroute, le Tribunal administratif a considéré que la faute pouvait encore être qualifiée de légère, au vu des circonstances particulières de l¿espèce, par exemple lorsque la distance entre les véhicules s'est progressivement réduite sans faute de l'intéressé, notamment parce qu'un véhicule s'est intercalé entre le véhicule du conducteur et celui qui le précédait. (arrêts CR.2005.0183 du 18 août 2006; CR.2004.0293 du 2 mars 2005; CR.2002.0187 du 21 juillet 2004; CR.2002.0093 du 16 avril 2003; CR.2000.0029 du 27 juillet 2001). Rien ne permet cette conclusion en l'espèce; la recourante n'a jamais expliqué que la voiture qu'elle a emboutie venait de s'intercaler et aucune pièce au dossier ne fait état d'une telle man¿uvre. On relèvera surtout que le premier véhicule confronté au ralentissement est parvenu à s'arrêter à temps. En outre, contrairement à ce qu'elle soutient, les circonstances de l'arrêt isolé auquel elle fait référence (CR.2006.0014 du 23 août 2006) ne sont pas identiques. Il s'agissait d'une conductrice qui avait mal apprécié la situation, croyant que la file des véhicules devant elle n¿était pas à l¿arrêt, mais seulement ralentie. Pour sa part, la recourante, comme elle l'a exposé à l'autorité intimée, a fait preuve d' "une légère inattention" , qui a entraîné la perte de maîtrise. Or, de l'aveu de la recourante elle-même, le tronçon autoroutier sur lequel a eu lieu l'accident est "particulièrement dangereux" en raison des ralentissements causés par les nombreux véhicules empruntant la sortie Lausanne-Vennes. On s'étonne dès lors que, consciente du danger, elle n'ait pas fait preuve d'une prudence et d'une attention accrues, ce d'autant plus que les conditions atmosphériques étaient très mauvaises. Dans ces circonstances, le tribunal de céans considère qu'il ne s'agit pas d'un cas de peu de gravité susceptible d'un simple avertissement, mais d'un cas de gravité moyenne, que l'art. 16b al. 2 let. a LCR sanctionne par un retrait d'un mois au minimum. S'en tenant à cette durée minimale, la décision attaquée ne peut qu'être confirmée, l'absence d'antécédents n'étant pas déterminante.</w:t>
      </w:r>
    </w:p>
    <w:p>
      <w:r>
        <w:rPr>
          <w:b/>
        </w:rPr>
        <w:t>E. 6</w:t>
      </w:r>
    </w:p>
    <w:p>
      <w:r>
        <w:t>Conformément aux art. 38 et 55 LJPA, un émolument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