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CR.2007.0188 vom 18. April 2008</w:t>
      </w:r>
    </w:p>
    <w:p>
      <w:r>
        <w:t>VD Tribunal cantonal, 2008-04-18, FR</w:t>
      </w:r>
    </w:p>
    <w:p>
      <w:r>
        <w:rPr>
          <w:b/>
        </w:rPr>
        <w:t xml:space="preserve">Quelle: </w:t>
      </w:r>
      <w:r>
        <w:t>https://mcp.opencaselaw.ch/entscheid/vd_omni_CR.2007.0188</w:t>
      </w:r>
    </w:p>
    <w:p>
      <w:r>
        <w:t>FR: VD_OMNI CR.2007.0188 du 18 avril 2008</w:t>
      </w:r>
    </w:p>
    <w:p>
      <w:r>
        <w:t>IT: VD_OMNI CR.2007.0188 del 18 aprile 2008</w:t>
      </w:r>
    </w:p>
    <w:p>
      <w:pPr>
        <w:pStyle w:val="Heading2"/>
      </w:pPr>
      <w:r>
        <w:t>Regeste</w:t>
      </w:r>
    </w:p>
    <w:p>
      <w:r>
        <w:t>X.________ /Service des automobiles et de la navigation | Confirmation d'un retrait de permis de trois mois pour un excès de vitesse (76 km/h au lieu de 50) commis en localité selon un arrêt de la Cour de cassation NE (recours au Tribunal fédéral retiré par l'intéressé) dont rien ne justifie de s'écarter.</w:t>
      </w:r>
    </w:p>
    <w:p>
      <w:pPr>
        <w:pStyle w:val="Heading2"/>
      </w:pPr>
      <w:r>
        <w:t>Erwägungen</w:t>
      </w:r>
    </w:p>
    <w:p>
      <w:r>
        <w:rPr>
          <w:b/>
        </w:rPr>
        <w:t>E. 1</w:t>
      </w:r>
    </w:p>
    <w:p>
      <w:r>
        <w:t>Déposé dans le délai de vingt jours fixé par l'art. 31 al. 1 de la loi vaudoise du 18 décembre 1989 sur la juridiction et la procédure administratives (LJPA; RSV 173.36), le recours est intervenu en temps utile. Il est au surplus recevable en la forme.</w:t>
      </w:r>
    </w:p>
    <w:p>
      <w:r>
        <w:rPr>
          <w:b/>
        </w:rPr>
        <w:t>E. 2</w:t>
      </w:r>
    </w:p>
    <w:p>
      <w:r>
        <w:t>Selon la jurisprudence constante du Tribunal fédéral, lorsque l’intéressé fait l’objet d’une dénonciation pénale, l’autorité administrative doit en principe surseoir à statuer jusqu’à droit connu sur le plan pénal lorsque l’état de fait ou la qualification juridique du comportement litigieux est pertinent pour la procédure administrative (ATF 119 Ib 158, c.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du Tribunal fédéral, l’autorité administrative ne peut s’écarter du jugement pénal que si elle est en mesure de fonder sa décision sur des constations de faits inconnus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Ib 158, cons. 3).</w:t>
      </w:r>
    </w:p>
    <w:p>
      <w:r>
        <w:rPr>
          <w:b/>
        </w:rPr>
        <w:t>E. 3</w:t>
      </w:r>
    </w:p>
    <w:p>
      <w:r>
        <w:t>En l’espèce, les conditions permettant à l’autorité administrative de s’écarter du jugement pénal ne sont pas réunies. En effet, le dossier ne contient pas d’éléments de faits inconnus du juge pénal ni de preuves nouvelles que le recourant n’aurait pas invoqués dans la procédure pénale. En particulier, le recourant ne peut invoquer l’erreur de droit dans le cas d’espèce. En effet, le juge pénal l'a déjà examiné et la Cour de Cassation pénale du Canton de Neuchâtel a conclu que l’intéressé ne pouvait ignorer se trouver dans une zone d’agglomération limitée à 50 km/h. Le tribunal de céans tient dès lors pour établi que le recourant  a commis un excès de vitesse de 26 km/h sur une route située dans une zone de limitation dite "générale" de 50 km/h propre à la localité, considérée comme faute grave (ATF 132 II 234).</w:t>
      </w:r>
    </w:p>
    <w:p>
      <w:r>
        <w:rPr>
          <w:b/>
        </w:rPr>
        <w:t>E. 4</w:t>
      </w:r>
    </w:p>
    <w:p>
      <w:r>
        <w:t>La jurisprudence fait la distinction entre la faute légère, la faute de moyenne gravité et le cas grave.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2 années précédentes (art. 16a al. 2 LCR). En cas d’infraction particulièrement légère, il est renoncé à toute mesure administrative (art. 16 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 al. 1 let. a LCR). Dans cette hypothèse, le permis de conduire est retiré pour trois mois au minimum (art. 16c al. 2 let. a LCR). La loi fait ainsi la distinction entre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Les cas graves supposent une violation grossière d'une règle essentielle de la circulation entraînant un danger concret ou un danger abstrait accru, le retrait du permis de conduire est obligatoire en application de l'art. 16 al. 3 let. a LCR (ancien). Le fait que cette jurisprudence se rapporte à l’ancien droit, révisé depuis, n’entraîne aucune conséquence puisque le Tribunal fédéral a jugé, dans l'ATF 132 II 234, que les définitions du cas grave et du cas moyennement grave dans le nouveau droit correspondaient à celles de l'ancien  droit (CR.2006.0079, CR.2007.0248).</w:t>
      </w:r>
    </w:p>
    <w:p>
      <w:r>
        <w:rPr>
          <w:b/>
        </w:rPr>
        <w:t>E. 5</w:t>
      </w:r>
    </w:p>
    <w:p>
      <w:r>
        <w:t>S'agissant des excès de vitesse, 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ATF 124 II 97; ATF 124 II 259).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124 II 97; ATF 123 II 37). Une moindre sévérité peut être justifiée par des circonstances exceptionnelles, telles que celles susceptibles d'entraîner une application analogique de l'art. 66bis CP (actuellement art. 54 CP) ou une erreur compréhensible sur la vitesse autorisée (ATF 124 II 475; ATF 124 II 98; ATF 126 II 196). Le Tribunal fédéral a jugé dans l'ATF 132 II 234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En l’espèce et conformément à la jurisprudence citée ci-dessus, le dépassement de la vitesse autorisé de 26 km/h sur une route à l’intérieur d’une localité entraîne un danger abstrait accru qui doit être qualifié d’infraction grave.</w:t>
      </w:r>
    </w:p>
    <w:p>
      <w:r>
        <w:rPr>
          <w:b/>
        </w:rPr>
        <w:t>E. 6</w:t>
      </w:r>
    </w:p>
    <w:p>
      <w:r>
        <w:t>S’agissant de la détermination de la quotité de la sanction, il faut apprécier les circonstances de l’espèce, notamment l’atteinte à la sécurité routière, la gravité de la faute, les antécédents en tant que conducteur et la nécessité professionnelle du permis de conduire. Toutefois la jurisprudence du Tribunal fédéral précise, en accord avec l’art. 16 al. 3 LCR, que la volonté du législateur de ne pas permettre au juge de prononcer un retrait de permis d’ u ne durée inférieure à la durée minimale prévue par la loi est manifeste (ATF 132 II 234; v. p. ex. l'ATF 6A.70/2005 du 13 mars 2006). Le critère de l’utilité professionnelle que revêt pour l'intéressé la possession de son permis doit être prise en considération pour fixer la durée du retrait, mais la nécessité professionnelle de conduire un véhicule ne peut être prise en compte ici, dès lors que la décision attaquée s'en tient au minimum prévu par la loi.</w:t>
      </w:r>
    </w:p>
    <w:p>
      <w:r>
        <w:rPr>
          <w:b/>
        </w:rPr>
        <w:t>E. 7</w:t>
      </w:r>
    </w:p>
    <w:p>
      <w:r>
        <w:t>Au vu de ce qui précède, le recours doit être rejeté et la décision entreprise confirmée.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