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CR.2007.0125 vom 1. Oktober 2007</w:t>
      </w:r>
    </w:p>
    <w:p>
      <w:r>
        <w:t>VD Tribunal cantonal, 2007-10-01, FR</w:t>
      </w:r>
    </w:p>
    <w:p>
      <w:r>
        <w:rPr>
          <w:b/>
        </w:rPr>
        <w:t xml:space="preserve">Quelle: </w:t>
      </w:r>
      <w:r>
        <w:t>https://mcp.opencaselaw.ch/entscheid/vd_omni_CR.2007.0125</w:t>
      </w:r>
    </w:p>
    <w:p>
      <w:r>
        <w:t>FR: VD_OMNI CR.2007.0125 du 1 octobre 2007</w:t>
      </w:r>
    </w:p>
    <w:p>
      <w:r>
        <w:t>IT: VD_OMNI CR.2007.0125 del 1 ottobre 2007</w:t>
      </w:r>
    </w:p>
    <w:p>
      <w:pPr>
        <w:pStyle w:val="Heading2"/>
      </w:pPr>
      <w:r>
        <w:t>Regeste</w:t>
      </w:r>
    </w:p>
    <w:p>
      <w:r>
        <w:t>X.________ /Service des automobiles et de la navigation | En circulant sur l'autoroute à une distance insuffisante (5 à 10 m.) pendant plus de 3 km. à 100-120 km/h, la recourante a commis une faute grave. Ayant été sanctionnée pour une infraction de gravité moyenne mois de cinq ans auparavant, un retrait de 6 mois correspond au minimum légal. Le besoin d'utiliser son véhicule pour son activité professionnelle ne permet pas de réduire cette durée.</w:t>
      </w:r>
    </w:p>
    <w:p>
      <w:pPr>
        <w:pStyle w:val="Heading2"/>
      </w:pPr>
      <w:r>
        <w:t>Erwägungen</w:t>
      </w:r>
    </w:p>
    <w:p>
      <w:r>
        <w:rPr>
          <w:b/>
        </w:rPr>
        <w:t>E. 1</w:t>
      </w:r>
    </w:p>
    <w:p>
      <w:r>
        <w:t>Déposé dans le délai de vingt jours fixé par l'art. 31 al. 1 de la loi du 18 décembre 1989 sur la juridiction et la procédure administratives (LJPA; RSV 173.36), le recours est intervenu en temps utile. Il est au surplus recevable en la forme.</w:t>
      </w:r>
    </w:p>
    <w:p>
      <w:r>
        <w:rPr>
          <w:b/>
        </w:rPr>
        <w:t>E. 2</w:t>
      </w:r>
    </w:p>
    <w:p>
      <w:r>
        <w:t>En matière d'infraction aux règles sur la circulation routière, 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lit.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du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lit. a LCR). Après une infraction moyennement grave, le permis de conduire est retiré pour un mois au minimum (art. 16b al. 2 lit. a LCR). Si, au cours des deux années précédentes, le permis de conduire a déjà été retiré une fois en raison d’une infraction grave ou moyennement grave, le permis de conduire est retiré pour quatre mois au minimum (art. 16b al. 2 lit. b LCR). c) Commet une infraction grave la personne qui, en violant gravement les règles de la circulation, met sérieusement en danger la sécurité d’autrui ou en prend le risque (art. 16c al. 1 lit. a LCR). Après une infraction grave, le permis de conduire est retiré pour trois mois au minimum (art. 16c al. 2 lit. a LCR). Il est retiré pour six mois au minimum si, au cours des cinq années précédentes, le permis a été retiré une fois en raison d’une infraction moyennement grave (art. 16c al. 2 lit. b LCR).</w:t>
      </w:r>
    </w:p>
    <w:p>
      <w:r>
        <w:rPr>
          <w:b/>
        </w:rPr>
        <w:t>E. 3</w:t>
      </w:r>
    </w:p>
    <w:p>
      <w:r>
        <w:t>a) Dans une jurisprudence publiée aux ATF 126 II 358, le Tribunal fédéral a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 11 février 2005). A fortiori, lorsqu'il s'agit d'une distance de 5 mètres, voire de moins, l'infraction doit être qualifiée de grave (dans ce sens également arrêt du Tribunal administratif CR.2006.292 du 30 août 2006 et CR.2005.369 du 9 octobre 2006). b) En l'occurrence, la recourante ne conteste pas les faits retenus dans le rapport de police et elle admet ainsi avoir talonné le véhicule qui la précédait à une distance comprise entre 5 et 10 mètres entre Belmont et le tunnel de Flonzaley, soit plus de trois kilomètres, alors qu'elle roulait à une vitesse comprise entre 100 et 120 km/h sur l'autoroute. Par son comportement, la recourante a enfreint l'art. 34 al. 4 LCR, qui prévoit que le conducteur observera une distance suffisante envers tous les usagers de la route, notamment pour croiser, dépasser et circuler de front ou lorsque les véhicules se suivent. Elle a également enfreint l'art. 12 al. 1 OCR, qui prévoit que, lorsque des véhicules se suivent, le conducteur se tiendra à une distance suffisante du véhicule qui le précède, afin de pouvoir s'arrêter à temps en cas de freinage inattendu. Ainsi que cela résulte de la jurisprudence mentionnée ci-dessus, le fait d'avoir circulé sur un trajet relativement long à une distance du véhicule la précédant qui ne lui aurait pas permis de s'arrêter sans encombre en cas d'urgence constitue une infraction grave au sens de l'art. 16 c al. 1 let. a LCR. La densité du trafic ainsi que le fait que la recourante n'ait pas, à cette occasion, gêné les autres usagers de la route, comme elle le prétend, ne changent rien à ce constat dès lors qu'une faute grave peut également résulter d'une mise en danger abstraite. Dès lors que la recourante a déjà été sanctionnée pour une infraction de gravité moyenne dans les cinq ans précédant cette nouvelle infraction, le retrait du permis de conduire doit être de six mois au minimum conformément à l'art. 16 c al. 2 let. b LCR.</w:t>
      </w:r>
    </w:p>
    <w:p>
      <w:r>
        <w:rPr>
          <w:b/>
        </w:rPr>
        <w:t>E. 4</w:t>
      </w:r>
    </w:p>
    <w:p>
      <w:r>
        <w:t>La recourante demande une réduction de la durée du retrait en faisant valoir qu'elle a besoin de son véhicule pour son activité professionnelle. Toutefois, dès lors que la décision attaquée s'en tient à la durée minimale prévue par l'art. 16 al. 2 let. b LCR, la prise en compte d'un besoin professionnel ne permet pas de réduire la durée du retrait (cf. art. 16 al. 3 dernière phrase LCR). La décision attaquée doit ainsi être confirmée et le recours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