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CR.2007.0118 vom 21. September 2007</w:t>
      </w:r>
    </w:p>
    <w:p>
      <w:r>
        <w:t>VD Tribunal cantonal, 2007-09-21, FR</w:t>
      </w:r>
    </w:p>
    <w:p>
      <w:r>
        <w:rPr>
          <w:b/>
        </w:rPr>
        <w:t xml:space="preserve">Quelle: </w:t>
      </w:r>
      <w:r>
        <w:t>https://mcp.opencaselaw.ch/entscheid/vd_omni_CR.2007.0118</w:t>
      </w:r>
    </w:p>
    <w:p>
      <w:r>
        <w:t>FR: VD_OMNI CR.2007.0118 du 21 septembre 2007</w:t>
      </w:r>
    </w:p>
    <w:p>
      <w:r>
        <w:t>IT: VD_OMNI CR.2007.0118 del 21 settembre 2007</w:t>
      </w:r>
    </w:p>
    <w:p>
      <w:pPr>
        <w:pStyle w:val="Heading2"/>
      </w:pPr>
      <w:r>
        <w:t>Regeste</w:t>
      </w:r>
    </w:p>
    <w:p>
      <w:r>
        <w:t>X.________ /Service des automobiles et de la navigation | Pour une conductrice qui a avoué une consommation régulière de haschisch, de marijuana et de cocaïne depuis plusieurs années, le fait de ne pas pouvoir s'empêcher de prendre de la cocaïne pendant les trois semaines où elle sait qu'elle sera soumise à des tests dont les résultats seront déterminants pour la restitution de son permis de conduire, justifie le maintien du retrait préventif.</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Selon l’art. 16d de la loi fédérale du 19 décembre 1958 sur la circulation routière (LCR),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Ces règles figuraient précédemment aux art. 14 al. 2, 16 al. 1 et 17 al. 1bis LCR dans la teneur en vigueur jusqu’au 31 décembre 2004. L'art. 23 al. 1 in fine LCR prévoit qu'en règle générale, l'autorité entendra l'intéressé avant de lui retirer son permis de conduire ou de le soumettre à une interdiction de circuler. Toutefois, selon l’art. 30 de l'ordonnance du 27 octobre 1976 réglant l’admission des personnes et des véhicules à la circulation routière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w:t>
      </w:r>
    </w:p>
    <w:p>
      <w:r>
        <w:rPr>
          <w:b/>
        </w:rPr>
        <w:t>E. 3</w:t>
      </w:r>
    </w:p>
    <w:p>
      <w:r>
        <w:t>Le Tribunal fédéral a précisé qu'en matière de toxicomanie, il en va de la drogue comme de l'alcool :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ATF 127 II 122). Lorsque les présomptions de dépendance ne sont pas assez fortes pour justifier une mesure de retrait préventif, le Tribunal administratif a jugé, dans ces cas de consommation de stupéfiants, que l'instruction devait se poursuivre avec la procédure d'expertise (voir arrêts CR.2002.0270 du 25 novembre 2002; CR.2002.0176 du 20 janvier 2004 ; CR.2004.0152 du 8 juin 2004; CR.2005.0204 du 8 septembre 2005). En l'espèce, la consommation de produits stupéfiants par la recourante en août 2006 ne suffirait pas à justifier le retrait préventif s'il s'agissait d'un épisode isolé. Cependant, outre que la recourante a avoué à la police soleuroise une consommation régulière de haschisch, de marijuana et de cocaïne depuis plusieurs années, elle a été soumise du 6 au 20 mars 2007 à trois tests successifs, dans le but de déterminer sa consommation de stupéfiants. On pouvait s'attendre à ce qu'elle s'abstienne de toute consommation, sachant que les résultats de ces tests seraient déterminants pour la restitution de son permis de conduire. Le fait qu'elle n'ait pu s'empêcher de prendre de la cocaïne durant un laps de temps aussi bref est de nature à conforter le soupçon de toxicomanie, ce qui justifie de l'écarter provisoirement de la circulation routière. Dès lors, le retrait préventif et la mise en oeuvre d'une expertise médicale auprès de l'UMTR s'avèrent parfaitement justifiés.</w:t>
      </w:r>
    </w:p>
    <w:p>
      <w:r>
        <w:rPr>
          <w:b/>
        </w:rPr>
        <w:t>E. 4</w:t>
      </w:r>
    </w:p>
    <w:p>
      <w:r>
        <w:t>De par sa nature, le retrait préventif est une mesure de sécurité qui s'étend à toutes les catégories de véhicules automobiles et qui n'est pas susceptible de d'aménagement. Au demeurant, l'autorisation de conduire pendant les heures de travail n'est pas prévue par la législation suisse ni admise par la jurisprudence (arrêt CR.2004.0017 du 19 mars 2004).</w:t>
      </w:r>
    </w:p>
    <w:p>
      <w:r>
        <w:rPr>
          <w:b/>
        </w:rPr>
        <w:t>E. 5</w:t>
      </w:r>
    </w:p>
    <w:p>
      <w:r>
        <w:t>Conformément aux art. 38 et 55 LJPA, un émolument sera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