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CR.2007.0100 vom 20. August 2007</w:t>
      </w:r>
    </w:p>
    <w:p>
      <w:r>
        <w:t>VD Tribunal cantonal, 2007-08-20, FR</w:t>
      </w:r>
    </w:p>
    <w:p>
      <w:r>
        <w:rPr>
          <w:b/>
        </w:rPr>
        <w:t xml:space="preserve">Quelle: </w:t>
      </w:r>
      <w:r>
        <w:t>https://mcp.opencaselaw.ch/entscheid/vd_omni_CR.2007.0100</w:t>
      </w:r>
    </w:p>
    <w:p>
      <w:r>
        <w:t>FR: VD_OMNI CR.2007.0100 du 20 août 2007</w:t>
      </w:r>
    </w:p>
    <w:p>
      <w:r>
        <w:t>IT: VD_OMNI CR.2007.0100 del 20 agosto 2007</w:t>
      </w:r>
    </w:p>
    <w:p>
      <w:pPr>
        <w:pStyle w:val="Heading2"/>
      </w:pPr>
      <w:r>
        <w:t>Regeste</w:t>
      </w:r>
    </w:p>
    <w:p>
      <w:r>
        <w:t>X.________ /Service des automobiles et de la navigation | Le tribunal n'a pas de motif de s'écarter d'une décision pénale retenant un excès de vitesse de 33 km/h sur l'autoroute à l'encontre du recourant, ce d'autant plus que l'excès de vitesse est clairement attesté par une photo radar qui démontre que, contrairement à ses dires, le recourant n'était pas talonné par un chauffard qui l'aurait contraint à accélérer. Cas moyennement grave entraînant un retrait d'un mois. Pas de droit à une audience publique, dès lors que le recourant n'a pas contesté la décision pénale et que la cause ne pose plus que la question de l'application de la durée minimale du retrait de permis.</w:t>
      </w:r>
    </w:p>
    <w:p>
      <w:pPr>
        <w:pStyle w:val="Heading2"/>
      </w:pPr>
      <w:r>
        <w:t>Erwägungen</w:t>
      </w:r>
    </w:p>
    <w:p>
      <w:r>
        <w:rPr>
          <w:b/>
        </w:rPr>
        <w:t>E. 1</w:t>
      </w:r>
    </w:p>
    <w:p>
      <w:r>
        <w:t>Le recourant soutient qu’il aurait été contraint d'accélérer pour éviter qu'un chauffard ne le heurte. Sa version des faits diffère donc de celle retenue par l'autorité intimée et le préfet.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2</w:t>
      </w:r>
    </w:p>
    <w:p>
      <w:r>
        <w:t>En l'espèce, les conditions permettant à l'autorité administrative de s'écarter du jugement pénal ne sont pas réunies. En effet, le dossier ne contient pas d'éléments de faits inconnus du juge pénal ni de preuves nouvelles que le recourant n'aurait pas invoqués dans la procédure pénale. Au vu de la photo radar de très bonne qualité qui montre clairement que le recourant circulait sur la voie de dépassement alors qu'aucune voiture ne se trouvait sur la voie du milieu, c'est en vain que le recourant invoque la présence d'un chauffard qui l'aurait contraint à accélérer pour éviter d'être heurté. Le tribunal de céans tient dès lors pour établi que le recourant a commis un excès de vitesse de 33 km/h sur l'autoroute. C'est ici le lieu d'observer que le recourant ne peut pas invoquer de droit à la tenue d'une audience publique, comme l'a jugé le tribunal dans un arrêt CR.2006.0135. Sans doute le retrait de permis d'admonestation est-il une décision sur le bien-fondé d'une accusation en matière pénale au sens de l'art. 6 ch. 1 CEDH, ce qui entraîne que l'intéressé a droit à des débats oraux et publics (ATF 121 II 22; 121 II 219). Toutefois, dès lors que le recourant n'a pas contesté le prononcé pénal rendu en cette affaire et que le Tribunal administratif peut exclure qu'il y ait des motifs de s'écarter des faits retenus dans ledit prononcé, une audience ne servirait à rien. En outre, quant à la durée du retrait de permis, la cause ne pose plus en l'espèce que la question de l'application du minimum légal. On se trouve donc dans une situation où le litige ne pose plus que des questions de droit. Dans ces conditions, le recourant ne peut plus prétendre à la convocation d'une audience devant le Tribunal administratif (sur les restrictions possibles au principe de la publicité des débats selon l'art. 6 CEDH : ATF 121 I 30).</w:t>
      </w:r>
    </w:p>
    <w:p>
      <w:r>
        <w:rPr>
          <w:b/>
        </w:rPr>
        <w:t>E. 3</w:t>
      </w:r>
    </w:p>
    <w:p>
      <w:r>
        <w:t>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Pour assurer l’égalité de traitement, la jurisprudence a été amenée à fixer des règles précises dans le domaine des excès de vitesse. Ces règles distinguent la circulation sur les autoroutes, les autres routes (à savoir les routes hors des localités et les semi-autoroutes dont les chaussées dans les deux directions ne sont pas séparées) et la circulation à l'intérieur des localités. Il a ainsi été jugé qu’un dépassement de la vitesse maximale de 20 à 24 km/h à l'intérieur des localités, de 25 à 29 km/h hors des localités et de 30 à 34 km/h sur l'autoroute constitue objectivement, sans égards aux circonstances concrètes, un cas de moyenne gravité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 Ces règles développées par la jurisprudence sous l’ancien droit restent pleinement applicables sous le nouveau droit (ATF 132 II 234 ; ég. CR.2006.0079).</w:t>
      </w:r>
    </w:p>
    <w:p>
      <w:r>
        <w:rPr>
          <w:b/>
        </w:rPr>
        <w:t>E. 5</w:t>
      </w:r>
    </w:p>
    <w:p>
      <w:r>
        <w:t>En l’espèce, le recourant a commis un excès de vitesse de 33 km/h sur l'autoroute. Selon la jurisprudence précitée, cette infraction doit être qualifiée de moyennement grave au sens de l’art. 16b LCR. En application de l’art. 16b al. 2 let. a LCR, elle entraîne un retrait de permis d’un mois au moins. S'en tenant à cette durée minimale, la décision attaquée ne peut qu'être confirmée et le recours, mal fondé,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