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CR.2007.0058 vom 28. September 2007</w:t>
      </w:r>
    </w:p>
    <w:p>
      <w:r>
        <w:t>VD Tribunal cantonal, 2007-09-28, FR</w:t>
      </w:r>
    </w:p>
    <w:p>
      <w:r>
        <w:rPr>
          <w:b/>
        </w:rPr>
        <w:t xml:space="preserve">Quelle: </w:t>
      </w:r>
      <w:r>
        <w:t>https://mcp.opencaselaw.ch/entscheid/vd_omni_CR.2007.0058</w:t>
      </w:r>
    </w:p>
    <w:p>
      <w:r>
        <w:t>FR: VD_OMNI CR.2007.0058 du 28 septembre 2007</w:t>
      </w:r>
    </w:p>
    <w:p>
      <w:r>
        <w:t>IT: VD_OMNI CR.2007.0058 del 28 settembre 2007</w:t>
      </w:r>
    </w:p>
    <w:p>
      <w:pPr>
        <w:pStyle w:val="Heading2"/>
      </w:pPr>
      <w:r>
        <w:t>Regeste</w:t>
      </w:r>
    </w:p>
    <w:p>
      <w:r>
        <w:t>X.________ /Service des automobiles et de la navigation | Rappel du principe selon lequel et sauf exceptions, on ne s'écarte pas des faits retenus dans une décision pénale entrée en force.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Le recourant a requis une inspection locale et la production de divers documents de la part de la police cantonale. Ces mesures n'apparaissent pas utile, pour les motifs qui suivent.</w:t>
      </w:r>
    </w:p>
    <w:p>
      <w:r>
        <w:rPr>
          <w:b/>
        </w:rPr>
        <w:t>E. 3</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2c/bb). Statuant sur un retrait de permis, elle ne peut pas s'écarter, sauf exceptions, des faits retenus dans une décision pénale entrée en force. Elle doit en particulier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doit pas s'écarter sans raison sérieuse des constatations de fait du juge pénal (ATF 119 Ib 158 consid. 3c/aa p. 164,106 Ib 398 consid. 2, 105 Ib 19 consid. 1a, 104 Ib 359 consid. 1 et 362 ss consid. 3),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(sommaire), cas échéant en épuisant les voies de droit à sa disposition, et qu'elle ne peut donc pas attendre la procédure administrative pour présenter ses arguments (ATF 123 II 97 consid. 3c/aa p. 104; 121 II 214 consid. 3a p.217 ss).</w:t>
      </w:r>
    </w:p>
    <w:p>
      <w:r>
        <w:rPr>
          <w:b/>
        </w:rPr>
        <w:t>E. 4</w:t>
      </w:r>
    </w:p>
    <w:p>
      <w:r>
        <w:t>En l'espèce, le préfet a retenu que le recourant avait circulé dans la localité de Mont-sur-Rolle à 76 km/h sur un tronçon limité à 50 km/h. Il a en conséquence condamné le recourant à une amende de 430 fr., plus 60 fr. de frais, pour violation grave d'une règle de la circulation routière (art. 90 ch. 2 LCR). Ce prononcé a été signifié le 22 janvier 2007, sans citation préalable, selon la procédure prévue à l'art. 70 de la loi sur 18 novembre 1969 sur les contraventions (LContr; RSV 312.11). Bien que le recourant avait été avisé, trois jours auparavant, que le Service des automobiles envisageait de lui infliger un retrait de permis de trois mois pour cette infraction, il n'a pas demandé le réexamen du prononcé sans citation, ce qui aurait conduit le préfet à le convoquer, à procéder à l'instruction et à rendre un nouveau prononcé, lui-même susceptible d'appel au Tribunal de police (art. 70a et 74 ss LContr). Si le recourant entendait contester l'exactitude des mesures opérées par la police cantonale et l'importance de son excès de vitesse, il lui appartenait de le faire à ce moment-là. Or, comme le montre sa lettre du 1 er février 2007 au Service des automobiles, il a au contraire renoncé à contester l'infraction. Dans ces conditions, il ne saurait reprocher au préfet de n'avoir pas instruit toutes les questions de fait et de droit, en particulier la question du contrôle de vitesse prétendument effectué dans un virage. Le fait qu'il n'ait eu connaissance des directives DETEC qu'ultérieurement, au moment où il a consulté avocat, ne constitue pas un fait nouveau de nature à entraîner une révision du prononcé préfectoral ou à justifier que l'autorité administrative instruise sur ce point; il s'agit d'une argumentation juridique que le recourant aurait pu faire valoir à l'appui d'une demande de réexamen ou d'un appel s'il avait consulté avocat en temps utile. On relève au demeurant qu'à l'endroit où, selon le recourant, le radar était placé, soit à la sortie du parking du cimetière de Mont-sur-Rolle, à quelque 80 mètres après les panneaux d'entrée de localité et de limitation générale de vitesse à 50 km/h, la chaussée est rectiligne, de sorte que l'on ne comprend pas comment le recourant pourrait tirer argument des instructions du DETEC relatives au contrôle de vitesse dans les virages. Les motifs invoqués ne justifient donc pas de s'écarter des faits retenus dans le prononcé préfectoral.</w:t>
      </w:r>
    </w:p>
    <w:p>
      <w:r>
        <w:rPr>
          <w:b/>
        </w:rPr>
        <w:t>E. 5</w:t>
      </w:r>
    </w:p>
    <w:p>
      <w:r>
        <w:t>Aux termes de l'art. 16 c al. 1 let. a de la loi fédérale du 19 décembre 1958 sur la circulation routière (LCR), commet une infraction grave la personne qui, en violant gravement les règles de la circulation, met sérieusement en danger la sécurité d'autrui ou en prend le risque. Dans ce cas, le permis de conduire est retiré pour trois mois au minimum (art. 16 c al. 2 let. a LCR). Selon le Tribunal fédéral, la révision du droit de la circulation routière entrée en vigueur le 1 er janvier 2005 ne met pas en cause la jurisprudence rendue en matière de retrait de permis pour excès de vitesse (ATF 6A.115/2006 du 1 er février 2007 consid. 3; 6A.38/2006 du 7 septembre 2006 consid. 2.1; ATF 132 II 234). Ainsi, selon une jurisprudence constante, à l’intérieur des localités, un avertissement doit être prononcé dès que le dépassement de vitesse atteint 15 km/h (ATF 124 II 475 ; 123 II 106); un excès de vitesse de 21 à 24 km/h constitue une infraction de moyenne gravité (ATF 124 II 97), tandis qu’à partir de 25 km/h de dépassement, un excès de vitesse constitue une mise en danger grave des autres usagers de la route (ATF 132 II 234; 123 II 37). Le recourant a dépassé de 26 km/h la vitesse maximale autorisée à l'intérieur d'une localité, commettant une infraction grave selon la jurisprudence précitée. S'en tenant à la durée minimale légale du retrait du permis de conduire, la décision entreprise ne peut être que confirmée, sans qu'il soit nécessaire d'examiner l'utilité professionnelle que revêt le permis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