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CR.2006.0467 vom 5. April 2007</w:t>
      </w:r>
    </w:p>
    <w:p>
      <w:r>
        <w:t>VD Tribunal cantonal, 2007-04-05, FR</w:t>
      </w:r>
    </w:p>
    <w:p>
      <w:r>
        <w:rPr>
          <w:b/>
        </w:rPr>
        <w:t xml:space="preserve">Quelle: </w:t>
      </w:r>
      <w:r>
        <w:t>https://mcp.opencaselaw.ch/entscheid/vd_omni_CR.2006.0467</w:t>
      </w:r>
    </w:p>
    <w:p>
      <w:r>
        <w:t>FR: VD_OMNI CR.2006.0467 du 5 avril 2007</w:t>
      </w:r>
    </w:p>
    <w:p>
      <w:r>
        <w:t>IT: VD_OMNI CR.2006.0467 del 5 aprile 2007</w:t>
      </w:r>
    </w:p>
    <w:p>
      <w:pPr>
        <w:pStyle w:val="Heading2"/>
      </w:pPr>
      <w:r>
        <w:t>Regeste</w:t>
      </w:r>
    </w:p>
    <w:p>
      <w:r>
        <w:t>X. /Service des automobiles et de la navigation | Le conducteur qui s'assoupit brièvement au volant et perd la maîtrise de son véhicule commet, conformément à la jurisprudence du TF, une infraction grave. La recourante se trouvant en état de récidive, elle doit faire l'objet d'un retrait de six mois au moins en application de l'ancien art. 17 al. 1 let. c LCR applicable au vu de l'al. 2 des dispositions transitoires de la LCR. Recours rejeté.</w:t>
      </w:r>
    </w:p>
    <w:p>
      <w:pPr>
        <w:pStyle w:val="Heading2"/>
      </w:pPr>
      <w:r>
        <w:t>Erwägungen</w:t>
      </w:r>
    </w:p>
    <w:p>
      <w:r>
        <w:rPr>
          <w:b/>
        </w:rPr>
        <w:t>E. 1</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2</w:t>
      </w:r>
    </w:p>
    <w:p>
      <w:r>
        <w:t>LCR,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w:t>
      </w:r>
    </w:p>
    <w:p>
      <w:r>
        <w:rPr>
          <w:b/>
        </w:rPr>
        <w:t>E. 3</w:t>
      </w:r>
    </w:p>
    <w:p>
      <w:r>
        <w:t>En l'espèce, la recourante ne conteste pas s'être assoupie au volant et avoir perdu de ce fait la maîtrise de son véhicule. Elle soutient, en se fondant sur l'arrêt CR.2006.0219, qu'en quittant l'autoroute pour emprunter la route cantonale lorsqu'elle a ressenti la fatigue, elle a pris une mesure adéquate pour éviter de s'endormir au volant, de sorte que sa faute ne doit pas être considérée comme une faute grave. Dans cet arrêt CR.2006.0219 du 21 septembre 2006, le Tribunal administratif avait considéré comme moyenne la faute d'un conducteur qui avait pris différentes mesures afin d'éviter de s'endormir au volant, mais qui avait néanmoins perdu la maîtrise de sa voiture après s'être assoupi. Toutefois, comme le tribunal l'a signalé à la recourante le 1 er décembre 2006, cet arrêt a fait l'objet d'un recours du Service des automobiles et de l'Office fédéral des routes au Tribunal fédéral. Par arrêt du 27 décembre 2006 (6A.84/2006), le Tribunal fédéral a admis les recours du SAN et de l'OFROU, annulé l'arrêt du Tribunal administratif, prononcé à l'encontre du conducteur intimé un retrait de permis de six mois et mis à la charge de ce dernier un émolument de justice de 2'000 francs.</w:t>
      </w:r>
    </w:p>
    <w:p>
      <w:r>
        <w:rPr>
          <w:b/>
        </w:rPr>
        <w:t>E. 4</w:t>
      </w:r>
    </w:p>
    <w:p>
      <w:r>
        <w:t>Selon la jurisprudence rendue sous l'ancien droit (ATF 126 II 206 consid. 1a, spéc. p. 208 s.), le fait de s'assoupir au volant constitue en règle générale une faute grave. On peut en effet exclure que l'assoupissement du conducteur dont l'aptitude à conduire n'est pas réduite par d'autres facteurs que la fatigue,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manoeuvres sèches de l'embrayage et brusque des freins, passage des vitesses moins fréquents, louvoiement et perte de la sensation de vitesse). Le fait que durant la phase d'assoupissement le véhicule poursuive sa trajectoire de manière non maîtrisée, au risque d'entrer en collision avec un obstacle ou un autre véhicule, constitue une mise en danger abstraite accrue de la sécurité. Dans cet arrêt, le Tribunal fédéral a cependant laissée ouverte la possibilité de retenir en faveur du conducteur des circonstances qui, concrètement, permettraient de s'écarter de ces principes en faisant apparaître comme moins grave la faute du conducteur qui s'est assoupi (consid. 1b, p. 209 s.).</w:t>
      </w:r>
    </w:p>
    <w:p>
      <w:r>
        <w:rPr>
          <w:b/>
        </w:rPr>
        <w:t>E. 5</w:t>
      </w:r>
    </w:p>
    <w:p>
      <w:r>
        <w:t>Dans l'arrêt 6A.84/2006 précité, le Tribunal fédéral a jugé que lorsque le conducteur s'est, en définitive, endormi malgré les précautions prises, son assoupissement n'a pu qu'être précédé des signes avant-coureurs du sommeil reconnaissables par l'intéressé. Aussi, lorsque le conducteur qui a pris de telles mesures s'endort au volant, on ne peut que constater que les mesures prises concrètement n'étaient pas suffisantes pour endiguer la fatigue, empêcher l'apparition des signes avant-coureurs de l'assoupissement et permettre la poursuite sans risque du trajet. Il s'ensuit que la faute du conducteur qui poursuit sa route dans ces conditions demeure grave malgré les précautions prises qui peuvent, au demeurant, être exigées de tous les conducteurs qui effectuent de longs trajets. Par ailleurs, les précautions prises demeurent sans incidence sur l'appréciation de la gravité de la mise en danger du trafic, qui résulte de la perte totale de maîtrise du véhicule après l'assoupissement. En l'espèce, il s'ensuit que, contrairement à ce que soutient la recourante, l'infraction litigieuse doit être qualifiée de grave, sans qu'il soit, par ailleurs, nécessaire de distinguer si ce cas relève de la lettre a ou de la lettre c de l'art. 16 al. 1 LCR. Un retrait du permis de conduire s'impose donc.</w:t>
      </w:r>
    </w:p>
    <w:p>
      <w:r>
        <w:rPr>
          <w:b/>
        </w:rPr>
        <w:t>E. 6</w:t>
      </w:r>
    </w:p>
    <w:p>
      <w:r>
        <w:t>Il reste encore à examiner la durée de la mesure, compte tenu du fait que la recourante a déjà subi un retrait de permis d'un mois en 2006, ordonné en application de l'ancien art. 16 al. 2 LCR à la suite d'un excès de vitesse commis avant l'entrée en vigueur des nouvelles dispositions légales le 1 er janvier 2005. Conformément à l'alinéa 2 du ch. III des Dispositions transitoires de la modification de la LCR du 14 décembre 2001 (RO 2002 2781), les mesures ordonnées en vertu de l'ancien droit sont régies par ce dernier. Comme l'a fait le Tribunal administratif dans les arrêts CR.2005.0341, CR.2006.0219, CR.2006.0362, le Tribunal fédéral a jugé dans l'arrêt 6A.84/2006 précité qu'un antécédent sanctionné sous l'ancien droit n'entraîne pas la cascade des conséquences prévue par le nouveau droit (art. 16c al. 2 LCR), comme l'exprime, au demeurant plus clairement le texte allemand de la disposition transitoire (Nach bisherigem Recht angeordnete Massnahmen werden nach bisherigem Recht berücksichtigt), mais celles prévues par l'ancien droit (art. 17 al. 1 let. c LCR). Selon cette dernière disposition, dont l'application n'est d'ailleurs pas plus défavorable en l'espèce à la recourante que le nouveau droit (art. 16c al. 2 let. b LCR), la durée minimale du retrait sera de six mois au moins si le permis doit être retiré pour cause d'infraction commise dans les deux ans depuis l'expiration du dernier retrait. En ayant fait l'objet d'un retrait de permis d'un mois quelques jours avant la commission d'une nouvelle infraction grave, la recourante tombe sous le coup de l'ancien art. 17 al. 1 let. c LCR, de sorte qu'elle doit faire l'objet d'un retrait de permis de six mois au moins. S'en tenant à la durée minimale prévue par la loi, la décision attaquée ne peut qu'être confirmée et le recours rejeté aux frais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