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CR.2006.0416 vom 16. März 2007</w:t>
      </w:r>
    </w:p>
    <w:p>
      <w:r>
        <w:t>VD Tribunal cantonal, 2007-03-16, FR</w:t>
      </w:r>
    </w:p>
    <w:p>
      <w:r>
        <w:rPr>
          <w:b/>
        </w:rPr>
        <w:t xml:space="preserve">Quelle: </w:t>
      </w:r>
      <w:r>
        <w:t>https://mcp.opencaselaw.ch/entscheid/vd_omni_CR.2006.0416</w:t>
      </w:r>
    </w:p>
    <w:p>
      <w:r>
        <w:t>FR: VD_OMNI CR.2006.0416 du 16 mars 2007</w:t>
      </w:r>
    </w:p>
    <w:p>
      <w:r>
        <w:t>IT: VD_OMNI CR.2006.0416 del 16 marzo 2007</w:t>
      </w:r>
    </w:p>
    <w:p>
      <w:pPr>
        <w:pStyle w:val="Heading2"/>
      </w:pPr>
      <w:r>
        <w:t>Regeste</w:t>
      </w:r>
    </w:p>
    <w:p>
      <w:r>
        <w:t>X. /Service des automobiles et de la navigation | Un retrait de permis de quatre mois est adéquat dans le cas d'un conducteur qui commet un grave excès de vitesse hors des localités (+ 48 km/h) dont les antécédents ne sont pas sans tache mais qui peut se prévaloir d'une relative utilité professionnelle du permis. Le fait que les motocyclistes échappent à certains contrôles radar pour des motifs techniques ne constitue pas une pratique illégale de l'autorité qui permettrait au recourant d'invoquer le principe de l'égalité dans l'illégalité afin d'échapper à toute sanction.</w:t>
      </w:r>
    </w:p>
    <w:p>
      <w:pPr>
        <w:pStyle w:val="Heading2"/>
      </w:pPr>
      <w:r>
        <w:t>Erwägungen</w:t>
      </w:r>
    </w:p>
    <w:p>
      <w:r>
        <w:rPr>
          <w:b/>
        </w:rPr>
        <w:t>E. 1</w:t>
      </w:r>
    </w:p>
    <w:p>
      <w:r>
        <w:t>Le recourant invoque le principe d'égalité dans l'illégalité, en faisant valoir qu'une catégorie entière d'usagers de la route, soit les motocyclistes, échappe à tout contrôle par ce type d'installation (radar conçu pour photographier les véhicules de face) et ainsi à toute sanction. Il soutient qu'il s'agit d'une pratique illégale de l'autorité et qu'un changement de pratique n'est pas envisageable compte tenu du type de matériel utilisé pour les contrôles de vitesse.</w:t>
      </w:r>
    </w:p>
    <w:p>
      <w:r>
        <w:rPr>
          <w:b/>
        </w:rPr>
        <w:t>E. 2</w:t>
      </w:r>
    </w:p>
    <w:p>
      <w:r>
        <w:t>D'après la jurisprudence du Tribunal fédéral relative au principe d'égalité (art. 8 al. 1 Cst., art. 4 al. 1 aCst.),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(ATF 1P.44/2006 du 18 janvier 2006; ATF 115 Ia 81; cf. également ATF 127 I 1 consid. 3a p. 2; ATF 123 II 248 consid. 3c p. 254). En l'espèce, il est erroné de prétendre que l'autorité intimée ne respecte pas la loi, en particulier la Loi sur la circulation routière: en effet, l'autorité intimée sanctionne systématiquement tous les cas de dépassements de vitesse dénoncés par la police, y compris ceux commis par des motocyclistes. Il n'existe par conséquent pas de pratique illégale de l'autorité accordant une impunité totale aux motocyclistes. C'est uniquement pour des raisons techniques que les motocyclistes échappent à certains contrôles radars (ceux qui ne prennent une photo que de face); or, le Canton de Vaud possède aussi des appareils radars fixes qui prennent des photos de dos (comme les nouveaux radars installés sur l'autoroute A1 et le radar laser) et qui permettent ainsi la dénonciation des motocyclistes coupables d'excès de vitesse. Outre les radars fixes, la police dispose aussi de radars mobiles installés dans les véhicules de police afin de suivre les véhicules (voitures ou motocycles) en infraction et de mesurer leur vitesse. Tous ces appareils permettent ainsi la dénonciation des excès de vitesse commis par les motocyclistes qui sont sanctionnés par l'autorité intimée de la même façon que les automobilistes. En l'espèce, en l'absence d'une pratique illégale de l'autorité administrative, les conditions permettant au recourant de prétendre à l'égalité dans l'illégalité ne sont pas remplies, de sorte qu'il ne saurait prétendre à être dispensé de toute mesure administrative. On relèvera au surplus que, selon la jurisprudence constante du Tribunal fédéral, l'autorité administrative statu ant sur un retrait de permis, ne peut pas s'écarter, sauf exceptions, des faits retenus dans une décision pénale entrée en force (ATF 119 Ib 158 consid. 3). Or, en l'espèce, le recourant n'a pas contesté l'ordonnance de condamnation rendue à son encontre, de sorte que le tribunal de céans est lié par les faits retenus par le juge d'instruction. On retiendra donc que le recourant a commis un excès de vitesse de 48 km/h à l'extérieur des localités.</w:t>
      </w:r>
    </w:p>
    <w:p>
      <w:r>
        <w:rPr>
          <w:b/>
        </w:rPr>
        <w:t>E. 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Dans un arrêt du 19 juin 1998 (ATF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123 II 106 consid. 2c p. 112 s.).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(voir CR.2006.0079).</w:t>
      </w:r>
    </w:p>
    <w:p>
      <w:r>
        <w:rPr>
          <w:b/>
        </w:rPr>
        <w:t>E. 4</w:t>
      </w:r>
    </w:p>
    <w:p>
      <w:r>
        <w:t>En l’espèce, au sens de la jurisprudence précitée, l’excès de vitesse de 48 km/h hors d’une localité reproché au recourant constitue une infraction grave au sens de l'art. 16c al. 1 let. a LCR, de sorte qu’il doit faire l’objet d’un retrait de permis de trois mois au moins conformément à l'art. 16c al. 2 let. a LCR, sans égards aux circonstances concrètes.</w:t>
      </w:r>
    </w:p>
    <w:p>
      <w:r>
        <w:rPr>
          <w:b/>
        </w:rPr>
        <w:t>E. 5</w:t>
      </w:r>
    </w:p>
    <w:p>
      <w:r>
        <w:t>S'agissant de la fixation de la durée des mesures,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En l'espèce, la quotité de l'excès de vitesse commis par le recourant est très importante, puisque la limite du cas grave hors des localités se situe à 30 km/h et que l'excès de vitesse litigieux s'élève à 48 km/h, soit 18 km/h de plus. La gravité de cet excès de vitesse appelle par conséquent une mesure d'une certaine sévérité. Par ailleurs, le recourant ne peut pas se prévaloir d'antécédents sans tache, puisqu'il a fait l'objet d'un avertissement pour excès de vitesse moins de deux ans avant la commission de l'infraction litigieuse. A ces éléments défavorables qui appellent une mesure s'écartant de la durée minimale du retrait, il faut opposer, en faveur du recourant, une relative utilité du permis de conduire en tant que notaire amené à se déplacer souvent, mais dont l'essentiel de l'activité se déroule néanmoins au sein de son étude. Ainsi, eu égard à l’ensemble des circonstances du cas présent, une augmentation de la durée du retrait de permis d’un mois par rapport au minimum légal de trois mois tient suffisamment compte de l'utilité professionnelle qui ne peut suffire à faire totalement abstraction de la gravité de l'excès de vitesse commis et de l'avertissement prononcé en 2004.</w:t>
      </w:r>
    </w:p>
    <w:p>
      <w:r>
        <w:rPr>
          <w:b/>
        </w:rPr>
        <w:t>E. 6</w:t>
      </w:r>
    </w:p>
    <w:p>
      <w:r>
        <w:t>Tout bien pesé, le tribunal estime par conséquent qu'un retrait de permis de quatre mois n'est pas disproportionné par rapport à l'ensemble des circonstances. La décision attaquée doit dès lors être confirmée et le recours rejeté au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