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CR.2006.0389 vom 21. März 2007</w:t>
      </w:r>
    </w:p>
    <w:p>
      <w:r>
        <w:t>VD Tribunal cantonal, 2007-03-21, FR</w:t>
      </w:r>
    </w:p>
    <w:p>
      <w:r>
        <w:rPr>
          <w:b/>
        </w:rPr>
        <w:t xml:space="preserve">Quelle: </w:t>
      </w:r>
      <w:r>
        <w:t>https://mcp.opencaselaw.ch/entscheid/vd_omni_CR.2006.0389</w:t>
      </w:r>
    </w:p>
    <w:p>
      <w:r>
        <w:t>FR: VD_OMNI CR.2006.0389 du 21 mars 2007</w:t>
      </w:r>
    </w:p>
    <w:p>
      <w:r>
        <w:t>IT: VD_OMNI CR.2006.0389 del 21 marzo 2007</w:t>
      </w:r>
    </w:p>
    <w:p>
      <w:pPr>
        <w:pStyle w:val="Heading2"/>
      </w:pPr>
      <w:r>
        <w:t>Regeste</w:t>
      </w:r>
    </w:p>
    <w:p>
      <w:r>
        <w:t>X. /Service des automobiles et de la navigation | Le fait de dépasser des véhicules par la droite sur l'autoroute représente une mise en danger abstraite importante du trafic. L'infraction doit être qualifiée de grave au sens de l'art. 16c al. 1 lit. a LCR et entraîner un retrait de permis de trois mois au minimum. Recours rejeté.</w:t>
      </w:r>
    </w:p>
    <w:p>
      <w:pPr>
        <w:pStyle w:val="Heading2"/>
      </w:pPr>
      <w:r>
        <w:t>Erwägungen</w:t>
      </w:r>
    </w:p>
    <w:p>
      <w:r>
        <w:rPr>
          <w:b/>
        </w:rPr>
        <w:t>E. 1</w:t>
      </w:r>
    </w:p>
    <w:p>
      <w:r>
        <w:t>Les faits litigieux se sont déroulés le 12 mai 2006, de sorte que les nouvelles dispositions de la LCR régissant le retrait d’admonestation du permis de conduire, entrées en vigueur le 1er janvier 2005, sont applicables en l’espèce.</w:t>
      </w:r>
    </w:p>
    <w:p>
      <w:r>
        <w:rPr>
          <w:b/>
        </w:rPr>
        <w:t>E. 2</w:t>
      </w:r>
    </w:p>
    <w:p>
      <w:r>
        <w:t>La loi fait la distinction entre le cas de très peu de gravité, le cas de peu de gravité, le cas de gravité moyenne et le cas grave. a) Commet une infraction légère la personne qui, en violant les règles de la circulation routière, met légèrement en danger la sécurité d'autrui et à laquelle seule une faute bénigne peut être imputée (art. 16a al. 1 lit.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b) Commet une infraction moyennement grave la personne qui, en violant les règles de la circulation, crée un danger pour la sécurité d'autrui ou en prend le risque (art. 16b al. 1 lit. a LCR). Dans cette hypothèse, le permis de conduire est retiré pour un mois au minimum (art. 16b al. 2 lit. a LCR). c) Commet une infraction grave la personne qui, en violant gravement les règles de la circulation, met sérieusement en danger la sécurité d'autrui ou en prend le risque (art. 16c al. 1 lit. a LCR). Dans cette hypothèse, le permis de conduire est retiré pour trois mois au minimum (art. 16c al. 2 let. a LCR).</w:t>
      </w:r>
    </w:p>
    <w:p>
      <w:r>
        <w:rPr>
          <w:b/>
        </w:rPr>
        <w:t>E. 3</w:t>
      </w:r>
    </w:p>
    <w:p>
      <w:r>
        <w:t>Selon l’art. 35 al. 1 LCR, les dépassements se font par la gauche, ce qui implique une interdiction des dépassements par la droite. Des exceptions sont toutefois prévues de manière générale par l’art. 8 al. 3 1 ère phr. OCR et par l’art. 36 al. 5 OCR lorsque la circulation se déroule « en files parallèles », spécialement sur des autoroutes. Cette règle ne permet toutefois que de devancer le véhicule par la droite, le dépassement par la droite impliquant un changement de voie avec contournement des véhicules étant formellement interdit par l’art. 8 al. 3 2 ème phr. OCR (ATF 126 IV 192, JdT 2001 I 515; ATF 115 IV 244, JdT 1989 I 688). Le Tribunal fédéral a jugé qu’il y a dépassement par la droite et non simple devancement par la droite, lorsque le déboîtement sur la droite, le dépassement d’un ou plusieurs véhicules, puis le rabattement sur la gauche, se produisent d’un seul trait (ATF 126 précité; ég. TA, arrêt CR.2005.0449 du 22 novembre 2006). Selon la jurisprudence, le dépassement par la droite constitue en règle générale une violation grave des règles de la circulation routière au sens de l’art. 90 ch. 2 LCR. La possibilité de dépasser tantôt à gauche, tantôt à droite en serpentant sur une autoroute est en effet de nature à créer l’insécurité et la confusion, alors que le respect des règles fondamentales s’impose ici plus encore que sur les autres routes où certaines exceptions peuvent se justifier (voir notamment ATF 103 IV 198, JdT 1978 I 436; ATF 126 précité).</w:t>
      </w:r>
    </w:p>
    <w:p>
      <w:r>
        <w:rPr>
          <w:b/>
        </w:rPr>
        <w:t>E. 4</w:t>
      </w:r>
    </w:p>
    <w:p>
      <w:r>
        <w:t>a) Le recourant conteste avoir effectué un dépassement par la droite. Il soutient qu’il s’agissait d’un simple devancement par la droite. Il explique qu’il s’était déplacé sur la voie de droite dans le but de quitter l’autoroute à la prochaine sortie et qu’il avait rattrapé quelques véhicules situés sur sa gauche, car la circulation sur la voie de gauche était plus dense que sur la celle de droite. Il s’était ensuite retrouvé derrière un camion qui circulait à une vitesse notablement plus faible et avait alors entrepris de le dépasser par la gauche, dès lors qu’il avait suffisamment de place pour le faire sans gêner les autres usagers. Il considère qu’il apparaît ainsi clairement qu’il n’entendait pas profiter de la voie de droite plus dégagée pour dépasser les véhicules qui le précédaient et reprendre immédiatement sa place dans la file de gauche. b)             Selon la jurisprudence du Tribunal fédéral,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c) En l’espèce, le recourant n’a pas fait opposition au prononcé préfectoral du 22 juin 2006 le condamnant à une amende de 350 francs pour avoir contourné plusieurs véhicules par la droite pour les dépasser. En outre, dans sa déposition faite à la police lors de son interpellation, il a reconnu les faits. Il a en effet indiqué: « Je venais de Genève et me dirigeais en direction de Morges. Entre Aubonne et Morges, j’ai rattrapé une file de véhicules qui était sur la voie de gauche. Il n’y avait personne sur la voie droite. Dès lors, je me suis déplacé sur cette voie, puis j’ai légèrement accéléré, pour atteindre une vitesse de 120 km/h. J’ai dépassé environ 6 ou 7 véhicules. Ensuite, j’ai réintégré la voie gauche. C’est immédiatement après que vous m’avez interpellé. » Il n’a par ailleurs pas fait mention d’un camion circulant à une allure notablement plus faible sur la voie de droite. Au demeurant, les dénonciateurs ont relevé dans leur rapport que le recourant avait remonté la colonne de véhicules qui se trouvait sur la voie de gauche et avait réintégré la voie de gauche, dès qu’il l’a pu, à savoir devant leur véhicule. Sur le vu de ce qui précède, le tribunal s’en tiendra, conformément à la règle dite de la « première déclaration », à ce que le recourant a indiqué dans sa déposition, à savoir qu’il s’est déplacé sur la voie de droite, a légèrement accéléré, a dépassé plusieurs véhicules et a réintégré la voie de gauche. Cette manœuvre est incontestablement un dépassement par la droite au sens de la jurisprudence. d) En contournant volontairement plusieurs véhicules par la droite pour les dépasser, le recourant a créé une mise en danger abstraite importante du trafic. Sa manœuvre aurait en effet pu surprendre les autres usagers de la route et provoquer chez eux des réactions dangereuses (p. ex. un freinage intempestif lorsqu’ils sont soudainement dépassés par la droite, ou un écart brusque lorsqu’ils veulent délibérément se ranger sur la piste de droite). Le risque d’accident était dès lors élevé. Peu importe qu’aucun usager n’a finalement été gêné par la manœuvre du recourant. Comme l’ont jugé le Tribunal fédéral dans les arrêts précités et le Tribunal administratif dans les arrêts CR.2006.0214 du 1 er novembre 2006 et CR.2005.0351 du 22 septembre 2006 et à l’instar du préfet qui a fait application de l’art. 90 ch. 2 LCR, l’infraction commise par le recourant doit être qualifiée de grave au sens de l’art. 16c al. 1 lit. a LCR et entraîner un retrait du permis de conduire de trois mois au minimum conformément à l’art. 16c al. 2 lit. a LCR.</w:t>
      </w:r>
    </w:p>
    <w:p>
      <w:r>
        <w:rPr>
          <w:b/>
        </w:rPr>
        <w:t>E. 5</w:t>
      </w:r>
    </w:p>
    <w:p>
      <w:r>
        <w:t>La décision attaquée s’en tenant à cette durée minimale, elle ne peut qu’être confirmée. Le recours doit donc être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