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CR.2006.0339 vom 23. April 2007</w:t>
      </w:r>
    </w:p>
    <w:p>
      <w:r>
        <w:t>VD Tribunal cantonal, 2007-04-23, FR</w:t>
      </w:r>
    </w:p>
    <w:p>
      <w:r>
        <w:rPr>
          <w:b/>
        </w:rPr>
        <w:t xml:space="preserve">Quelle: </w:t>
      </w:r>
      <w:r>
        <w:t>https://mcp.opencaselaw.ch/entscheid/vd_omni_CR.2006.0339</w:t>
      </w:r>
    </w:p>
    <w:p>
      <w:r>
        <w:t>FR: VD_OMNI CR.2006.0339 du 23 avril 2007</w:t>
      </w:r>
    </w:p>
    <w:p>
      <w:r>
        <w:t>IT: VD_OMNI CR.2006.0339 del 23 aprile 2007</w:t>
      </w:r>
    </w:p>
    <w:p>
      <w:pPr>
        <w:pStyle w:val="Heading2"/>
      </w:pPr>
      <w:r>
        <w:t>Regeste</w:t>
      </w:r>
    </w:p>
    <w:p>
      <w:r>
        <w:t>X. /Service des automobiles et de la navigation | Un retrait de permis de 14 mois n'est pas disproportionné dans le cas d'un directeur de banque (licencié en cours de procédure) qui commet une récidive d'ivresse au volant seulement 16 mois après la fin d'un précédent retrait pour ivresse au volant et qui ne peut pas se prévaloir d'une véritable nécessité de son permis de conduire. Recours rejeté.</w:t>
      </w:r>
    </w:p>
    <w:p>
      <w:pPr>
        <w:pStyle w:val="Heading2"/>
      </w:pPr>
      <w:r>
        <w:t>Erwägungen</w:t>
      </w:r>
    </w:p>
    <w:p>
      <w:r>
        <w:rPr>
          <w:b/>
        </w:rPr>
        <w:t>E. 1</w:t>
      </w:r>
    </w:p>
    <w:p>
      <w:r>
        <w:t>Le recourant ne conteste pas les faits, mais demande que la durée du retrait soit limitée au minimum légal, notamment en raison de son besoin professionnel. L'infraction litigieuse a eu lieu en 2006, de sorte que les nouvelles dispositions légales, entrées en vigueur le 1 er janvier 2005, sont applicables en l'espèce. Cependant, conformément à l'alinéa</w:t>
      </w:r>
    </w:p>
    <w:p>
      <w:r>
        <w:rPr>
          <w:b/>
        </w:rPr>
        <w:t>E. 2</w:t>
      </w:r>
    </w:p>
    <w:p>
      <w:r>
        <w:t>Selon l'art. 16c al. 1 let. b LCR, commet une infraction grave la personne qui conduit un véhicule automobile en état d’ébriété et présente un taux d’alcoolémie qualifié (art. 55, al. 6 LCR). Est réputé qualifié un taux d’alcoolémie de 0,8 g ‰ ou plus (art. 1 al. 2 de l'ordonnance de l’Assemblée fédérale concernant les taux d’alcoolémie limites admis en matière de circulation routière). Conformément à l'art. 16c al. 2 lit. a LCR, le permis de conduire est pour une durée de trois mois au minimum après une infraction grave. En l'espèce, en conduisant un véhicule avec un taux d'alcoolémie qualifié, le recourant a commis une infraction grave, de sorte que, selon la nouvelle législation en vigueur, il doit faire l’objet d'un retrait de permis de trois mois au moins. Cependant, le recourant a commis la nouvelle ivresse au volant un an et quatre mois après l'échéance d'un précédent retrait de permis de trois mois ordonné sous l'ancien droit à la suite d'une ivresse au volant. Comme expliqué sous chiffre 1 ci-dessus, il faut donc accorder à cet antécédent le poids qu'il aurait eu sous l'ancien droit.</w:t>
      </w:r>
    </w:p>
    <w:p>
      <w:r>
        <w:rPr>
          <w:b/>
        </w:rPr>
        <w:t>E. 3</w:t>
      </w:r>
    </w:p>
    <w:p>
      <w:r>
        <w:t>Selon les anciens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let. d LCR, la durée du retrait sera de douze mois au minimum en cas de récidive d'ivresse commise dans les cinq ans suivant l'échéance du précédent retrait.</w:t>
      </w:r>
    </w:p>
    <w:p>
      <w:r>
        <w:rPr>
          <w:b/>
        </w:rPr>
        <w:t>E. 4</w:t>
      </w:r>
    </w:p>
    <w:p>
      <w:r>
        <w:t>En l'espèce, en ayant commis une ivresse au volant qualifiée un peu moins d'un an et quatre mois après l'échéance d'un précédent retrait de permis de trois mois pour ivresse au volant, le recourant tombe sous le coup de l'art. 17 al. 1 let. d LCR qui prévoit un retrait de permis de douze mois au minimum. Le taux d'alcoolémie de 1.04 g ‰ présenté par le recourant n'est certes pas très élevé, puisqu'il ne s'écarte que de peu du taux limite de 0.8 g ‰. Mais il faut relever que l'infraction du 12 mai 2006 est survenue moins de seize mois après l'échéance du précédent retrait le 20 janvier 2005, soit dans un laps de temps très court, si on considère que le délai de récidive en cas d'ivresse au volant est fixé à cinq ans; ce court délai de récidive entre l'échéance du précédent retrait et la nouvelle ivresse au volant tend à démontrer que la précédente mesure n'a pas eu les effets préventif et éducatif escomptés. Dans ces conditions, la durée du retrait de permis ne peut que s'écarter sensiblement de la durée minimale de douze mois. En effet, ce n'est que lorsque la fin du délai de récidive de cinq ans est proche que l'autorité peut se contenter d'infliger une mesure de retrait s'en tenant au minimum légal de douze mois. A cet élément défavorable, on peu opposer en faveur du recourant le fait que l'ivresse au volant a été la seule infraction commise et l'absence d'autre antécédent (hormis le retrait de permis échu en 2005) dans le fichier des mesures administratives. Il faut aussi tenir compte de l'utilité professionnelle de son permis de conduire en tant qu'ancien directeur de banque à la recherche d'un nouvel emploi. Cependant, il ne faut pas perdre de vue que le recourant ne se trouve pas dans la situation d'un chauffeur professionnel ni dans celle d'un représentant de commerce qui se retrouvent empêchés de travailler et donc privés de tout revenu en cas de retrait de permis.</w:t>
      </w:r>
    </w:p>
    <w:p>
      <w:r>
        <w:rPr>
          <w:b/>
        </w:rPr>
        <w:t>E. 5</w:t>
      </w:r>
    </w:p>
    <w:p>
      <w:r>
        <w:t>Dans ces conditions, il apparaît que la décision attaquée qui fixe la durée du retrait de permis à quatorze mois, soit deux mois de plus que le minimum légal, tient déjà suffisamment compte de l'utilité professionnelle invoquée par le recourant, de sorte qu'elle n'est pas disproportionnée par rapport à l'ensemble des circonstances du cas présent. La décision attaquée échappe ainsi à la critique et doit dès lors être confirmée. Le recours est ainsi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