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CR.2006.0326 vom 3. Oktober 2006</w:t>
      </w:r>
    </w:p>
    <w:p>
      <w:r>
        <w:t>VD Tribunal cantonal, 2006-10-03, FR</w:t>
      </w:r>
    </w:p>
    <w:p>
      <w:r>
        <w:rPr>
          <w:b/>
        </w:rPr>
        <w:t xml:space="preserve">Quelle: </w:t>
      </w:r>
      <w:r>
        <w:t>https://mcp.opencaselaw.ch/entscheid/vd_omni_CR.2006.0326</w:t>
      </w:r>
    </w:p>
    <w:p>
      <w:r>
        <w:t>FR: VD_OMNI CR.2006.0326 du 3 octobre 2006</w:t>
      </w:r>
    </w:p>
    <w:p>
      <w:r>
        <w:t>IT: VD_OMNI CR.2006.0326 del 3 ottobre 2006</w:t>
      </w:r>
    </w:p>
    <w:p>
      <w:pPr>
        <w:pStyle w:val="Heading2"/>
      </w:pPr>
      <w:r>
        <w:t>Regeste</w:t>
      </w:r>
    </w:p>
    <w:p>
      <w:r>
        <w:t>X. /Service des automobiles et de la navigation | Circuler avec un taux d'alcoolémie de 1,69 gr. o/oo moins de 10 mois après l'exécution d'un retrait pour une précédente ivresse au volant (taux d'alcoolémie de 1,34 gr. o/oo) justifie un retrait du permis de conduire à titre préventif. Recours rejeté.</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Selon une jurisprudence constante (CR.2005.0111 du 3 juin 2005,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 capacité à conduire fixées par la jurisprudence du Tribunal fédéral (une ivresse au volant avec un taux de 2,5 gr. ‰ au moins ou deux ivresses au volant avec un taux de 1,6 gr. ‰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 Il faut relever que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L’autorité peut ainsi se contenter de faits dont la constatation ne franchit encore que le seuil d'une vraisemblance suffisante (CR.2003.0060; CR.2003.0070; CR.2003.0098; CR.2004.0083; CR.2004.0087; CR.2005.0005; CR.2005.0275; CR.2005.0253).</w:t>
      </w:r>
    </w:p>
    <w:p>
      <w:r>
        <w:rPr>
          <w:b/>
        </w:rPr>
        <w:t>E. 3</w:t>
      </w:r>
    </w:p>
    <w:p>
      <w:r>
        <w:t>En l’espèce, le laboratoire d'analyses médicales de l'institut de chimie clinique a déterminé  un taux d’alcoolémie au moment critique de 1,69 gr. ‰ au minimum. Cette ivresse au volant survient le 11 juin 2006, soit moins de dix mois après l'exécution d'un retrait de permis prononcé pour une précédente conduite en état d'ébriété commise le 21 avril 2005 avec un taux d’alcoolémie de 1,34 gr. ‰. Ainsi, même si le cas du recourant ne concorde pas en tous points avec les hypothèses dans lesquelles le Tribunal fédéral admet d’emblée l’existence d’un soupçon concret et important d’alcoolodépendance, force est néanmoins de constater qu’on se trouve dans une situation comparable: le doute sur l'aptitude à conduire du recourant résulte de la proximité des deux infractions; c’est en effet la seconde fois en moins de quatorze mois que le recourant est interpellé pour ivresse au volant (cf, pour des cas du même ordre, deux arrêts du tribunal de céans confirmant un retrait préventif: CR.2006.0321 du 11 août 2006, pour deux ivresses respectivement de 1,22 gr. ‰ et de 2,06 gr. ‰ en l'espace de quatre ans et demi; CR.2003.0098 du 19 mai 2003, pour deux ivresses de 1,73 gr. ‰ et de 1,33 gr. ‰ commises en l'espace de deux ans et trois mois). Le recourant évoque une situation particulière (l'heure tardive, la brève durée du trajet, le fait qu'il n'entendait pas conduire ce soir-là, mais qu'il s'est cru tenu de remplacer son épouse non munie de son permis). Ces éléments auront une incidence sur la durée d'un éventuel retrait d'admonestation; ils ne suffisent pas à lever le doute que suscite la grande proximité dans le temps entre les deux ivresses au volant commises et l'importance du taux d'alcoolémie lors de la seconde infraction. Dans ces conditions, le recourant doit être écarté de la circulation routière jusqu’à ce que les sérieux doutes pesant sur son aptitude à conduire soient levés. Une fois ces motifs d’exclusion élucidés, et par hypothèse levés, le recourant devra faire l’objet d’un retrait de permis à titre d’admonestation sanctionnant l’infraction commise (d’une durée de douze mois au moins en application de l’art. 16c al. 2 lit. c LCR). Si ces doutes sont au contraire confirmés, le recourant devra faire l’objet d’un retrait de sécurité d’une durée indéterminée. La décision attaquée doit ainsi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