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CR.2006.0311 vom 16. Januar 2007</w:t>
      </w:r>
    </w:p>
    <w:p>
      <w:r>
        <w:t>VD Tribunal cantonal, 2007-01-16, FR</w:t>
      </w:r>
    </w:p>
    <w:p>
      <w:r>
        <w:rPr>
          <w:b/>
        </w:rPr>
        <w:t xml:space="preserve">Quelle: </w:t>
      </w:r>
      <w:r>
        <w:t>https://mcp.opencaselaw.ch/entscheid/vd_omni_CR.2006.0311</w:t>
      </w:r>
    </w:p>
    <w:p>
      <w:r>
        <w:t>FR: VD_OMNI CR.2006.0311 du 16 janvier 2007</w:t>
      </w:r>
    </w:p>
    <w:p>
      <w:r>
        <w:t>IT: VD_OMNI CR.2006.0311 del 16 gennaio 2007</w:t>
      </w:r>
    </w:p>
    <w:p>
      <w:pPr>
        <w:pStyle w:val="Heading2"/>
      </w:pPr>
      <w:r>
        <w:t>Regeste</w:t>
      </w:r>
    </w:p>
    <w:p>
      <w:r>
        <w:t>X./Service des automobiles et de la navigation | Confirmation d'un retrait de permis d'un mois pour un excès de vitesse de 23 km/h en localité (cas moyennement grave) retenu sur la base de l'état de fait d'une décision pénale qui n'a pas été contestée.</w:t>
      </w:r>
    </w:p>
    <w:p>
      <w:pPr>
        <w:pStyle w:val="Heading2"/>
      </w:pPr>
      <w:r>
        <w:t>Erwägungen</w:t>
      </w:r>
    </w:p>
    <w:p>
      <w:r>
        <w:rPr>
          <w:b/>
        </w:rPr>
        <w:t>E. 1</w:t>
      </w:r>
    </w:p>
    <w:p>
      <w:r>
        <w:t>Le recourant soutient qu’il n’est pas l’auteur de l’excès de vitesse qui lui est reproché.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recourant n’a pas contesté l’amende qui a été prononcée à son encontre. D’après le procès-verbal établi par la police cantonale de Neuchâtel, il a même admis les faits, lorsqu’il a été avisé par téléphone de l’infraction commise. En outre, il n’a pas réagi, lorsque l’autorité intimée l’a informé qu’elle envisageait de prononcer une mesure de retrait du permis de conduire à son encontre et l’a invité à présenter ses observations. Par ailleurs, les conditions permettant à l'autorité administrative de s'écarter de l'état de fait retenu dans la décision pénale ne sont pas réunies en l'espèce, puisque les photographies versées au dossier (à supposer qu'elles aient été inconnues du juge pénal) ne permettent pas de discerner le conducteur si bien qu'il n'existe pas d'élément permettant de renverser le prononcé de culpabilité résultant de la décision pénale. Sur le vu de ce qui précède, le tribunal de céans ne saurait s’écarter des faits retenus par la police cantonale de Neuchâtel, de sorte qu’il tient pour établi que c’est bien le recourant qui est l’auteur de l’excès de vitesse litigieux.</w:t>
      </w:r>
    </w:p>
    <w:p>
      <w:r>
        <w:rPr>
          <w:b/>
        </w:rPr>
        <w:t>E. 2</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3</w:t>
      </w:r>
    </w:p>
    <w:p>
      <w:r>
        <w:t>Pour assurer l’égalité de traitement, la jurisprudence a été amenée à fixer des règles précises dans le domaine des excès de vitesse. Ces règles distinguent la circulation sur les autoroutes, les autres routes (à savoir les routes hors des localités et les semi-autoroutes dont les chaussées dans les deux directions ne sont pas séparées) et la circulation à l'intérieur des localités. Il a ainsi été jugé qu’un dépassement de la vitesse maximale de 20 à 24 km/h à l'intérieur des localités, de 25 à 29 km/h hors des localités et de 30 à 34 km/h sur l'autoroute constitue objectivement, sans égards aux circonstances concrètes, un cas de moyenne gravité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 Ces règles développées par la jurisprudence sous l’ancien droit restent pleinement applicables sous le nouveau droit (ATF 132 II 234 ; ég. CR.2006.0079).</w:t>
      </w:r>
    </w:p>
    <w:p>
      <w:r>
        <w:rPr>
          <w:b/>
        </w:rPr>
        <w:t>E. 4</w:t>
      </w:r>
    </w:p>
    <w:p>
      <w:r>
        <w:t>En l’espèce, il a été retenu que X.________ a commis un excès de vitesse de 23 km/h en localité. Selon la jurisprudence précitée, cette infraction doit être qualifiée de moyennement grave au sens de l’art. 16b LCR. En application de l’art. 16b al. 2 let. a LCR, elle entraîne un retrait de permis d’un mois au moins.</w:t>
      </w:r>
    </w:p>
    <w:p>
      <w:r>
        <w:rPr>
          <w:b/>
        </w:rPr>
        <w:t>E. 5</w:t>
      </w:r>
    </w:p>
    <w:p>
      <w:r>
        <w:t>La décision attaquée s’en tenant à cette durée minimale d’un mois, elle ne peut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