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CR.2006.0310 vom 26. Februar 2007</w:t>
      </w:r>
    </w:p>
    <w:p>
      <w:r>
        <w:t>VD Tribunal cantonal, 2007-02-26, FR</w:t>
      </w:r>
    </w:p>
    <w:p>
      <w:r>
        <w:rPr>
          <w:b/>
        </w:rPr>
        <w:t xml:space="preserve">Quelle: </w:t>
      </w:r>
      <w:r>
        <w:t>https://mcp.opencaselaw.ch/entscheid/vd_omni_CR.2006.0310</w:t>
      </w:r>
    </w:p>
    <w:p>
      <w:r>
        <w:t>FR: VD_OMNI CR.2006.0310 du 26 février 2007</w:t>
      </w:r>
    </w:p>
    <w:p>
      <w:r>
        <w:t>IT: VD_OMNI CR.2006.0310 del 26 febbraio 2007</w:t>
      </w:r>
    </w:p>
    <w:p>
      <w:pPr>
        <w:pStyle w:val="Heading2"/>
      </w:pPr>
      <w:r>
        <w:t>Regeste</w:t>
      </w:r>
    </w:p>
    <w:p>
      <w:r>
        <w:t>X./Service des automobiles et de la navigation | Excès de vitesse de 24 km/h à l'intérieur d'une localité commis moins de deux ans après l'échéance d'un précédent retrait. Confirmation du retrait de quatre mois.</w:t>
      </w:r>
    </w:p>
    <w:p>
      <w:pPr>
        <w:pStyle w:val="Heading2"/>
      </w:pPr>
      <w:r>
        <w:t>Erwägungen</w:t>
      </w:r>
    </w:p>
    <w:p>
      <w:r>
        <w:rPr>
          <w:b/>
        </w:rPr>
        <w:t>E. 1</w:t>
      </w:r>
    </w:p>
    <w:p>
      <w:r>
        <w:t>Déposé dans le délai de vingt jours imparti à l'art. 31 al. 1 er , 1 ère phrase, de la loi vaudoise du 18 décembre 1989 sur la juridiction et la procédure administratives (ci-après : LJPA), le recours est intervenu en temps utile. Il est au surplus recevable en la forme.</w:t>
      </w:r>
    </w:p>
    <w:p>
      <w:r>
        <w:rPr>
          <w:b/>
        </w:rPr>
        <w:t>E. 2</w:t>
      </w:r>
    </w:p>
    <w:p>
      <w:r>
        <w:t>Les faits reprochés au recourant datent du 31 mars 2006. Par conséquent, ils tombent sous le coup de la loi fédérale du 19 décembre 1958 sur la circulation routière (ci-après : LCR) dont les dispositions modifiées le 14 décembre 2001 (RO 2002, p. 2767) sont entrées en vigueur le 1 er janvier 2005 (RO 2004, p. 2849).</w:t>
      </w:r>
    </w:p>
    <w:p>
      <w:r>
        <w:rPr>
          <w:b/>
        </w:rPr>
        <w:t>E. 3</w:t>
      </w:r>
    </w:p>
    <w:p>
      <w:r>
        <w:t>Le recourant ne conteste pas les faits qui lui sont reprochés. Le tribunal tiendra dès lors pour constant que le recourant a commis un excès de vitesse de 24 km/h à l'intérieur d'une localité. Dans un arrêt paru aux ATF 124 II 475, le Tribunal fédéral a récapitulé les règles fixées par la jurisprudence dans le domaine des excès de vitesse. Ces règles distinguent la circulation sur les autoroutes, les autres routes (à savoir les routes hors des localités et les semi-autoroutes dont les chaussées ne sont pas séparées) et la circulation à l'intérieur des localités. A l’intérieur d’une localité, un avertissement doit être prononcé dès que le dépassement de vitesse atteint 15 km/h (ATF 124 II 475 ; 123 II 106) ; un excès de vitesse de 21 à 24 km/h constitue un cas de moyenne gravité (ATF 124 II 97), tandis qu’à partir de 25 km/h de dépassement, un excès de vitesse constitue une mise en danger grave des autres usagers de la route (ATF 123 II 37). Tout récemment, le Tribunal fédéral a jugé que les définitions du cas grave et du cas moyennement grave dans le nouveau droit correspondent à celles de l'ancien droit et que la révision du droit de la circulation routière (entrée en vigueur le 1 er janvier 2005) ne met pas en cause la jurisprudence rendue en matière de retrait de permis pour excès de vitesse (ATF 132 II 234; CR.2006.0079). En dépassant la vitesse maximale autorisée de 24 km/h à l'intérieur d'une localité, le recourant a commis une infraction moyennement grave au sens de l'art. 16b LCR, ce qu'il ne conteste au demeurant pas.</w:t>
      </w:r>
    </w:p>
    <w:p>
      <w:r>
        <w:rPr>
          <w:b/>
        </w:rPr>
        <w:t>E. 4</w:t>
      </w:r>
    </w:p>
    <w:p>
      <w:r>
        <w:t>Aux termes de l'art. 16b al. 1 lit. b LCR, le permis de conduire est retiré pour quatre mois au minimum si, au cours des deux années précédentes, le permis a été retiré une fois en raison d'une infraction grave ou moyennement grave. En l'occurrence, le 4 octobre 2005 soit postérieurement à l’entrée en vigueur des nouvelles dispositions de la LCR, le recourant s'est vu retirer son permis de conduire pour une durée d'un mois en raison d'une infraction de moyenne gravité commise le 1 er juillet 2005, plus précisément en raison d’un dépassement par la droite avec emprunt de la bande d’arrêt d’urgence Contrairement à ce que soutient le recourant et quand bien même il n'appartient pas au tribunal de céans de statuer sur le degré de gravité de l'infraction commise par le recourant le 1 er juillet 2005, laquelle a fait l'objet d'une décision définitive et exécutoire, le Tribunal fédéral a, dans le cas invoqué par le recourant, considéré le dépassement par la droite avec utilisation de la bande d’arrêt d’urgence comme une infraction moyennement grave au sens de l'art. 16b al. 1 lit. a LCR passible d’un retrait d’une durée minimale d’un mois (cf. arrêt du Tribunal fédéral du 11 janvier 2007 non publié 6A.53/2006 dans la cause CR.2005.433). En ayant commis une infraction moyennement grave entraînant un retrait obligatoire du permis moins de deux ans après l'échéance d'un précédent retrait, le recourant tombe sous le coup de l'application de l'art. 16b al. 2 lit. b LCR qui prévoit un retrait d'une durée minimale de quatre mois. La mesure infligée par l'autorité intimée qui s'en tient à la durée minimale prévue par l'art. 16b al. 2 lit. b LCR ne prête dès lors pas le flanc à la critique. Au vu de ce qui précède, la décision incriminée doit être confirmée et le recours rejeté.</w:t>
      </w:r>
    </w:p>
    <w:p>
      <w:r>
        <w:rPr>
          <w:b/>
        </w:rPr>
        <w:t>E. 5</w:t>
      </w:r>
    </w:p>
    <w:p>
      <w:r>
        <w:t>Les frais doivent être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