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CR.2006.0300 vom 15. März 2007</w:t>
      </w:r>
    </w:p>
    <w:p>
      <w:r>
        <w:t>VD Tribunal cantonal, 2007-03-15, FR</w:t>
      </w:r>
    </w:p>
    <w:p>
      <w:r>
        <w:rPr>
          <w:b/>
        </w:rPr>
        <w:t xml:space="preserve">Quelle: </w:t>
      </w:r>
      <w:r>
        <w:t>https://mcp.opencaselaw.ch/entscheid/vd_omni_CR.2006.0300</w:t>
      </w:r>
    </w:p>
    <w:p>
      <w:r>
        <w:t>FR: VD_OMNI CR.2006.0300 du 15 mars 2007</w:t>
      </w:r>
    </w:p>
    <w:p>
      <w:r>
        <w:t>IT: VD_OMNI CR.2006.0300 del 15 marzo 2007</w:t>
      </w:r>
    </w:p>
    <w:p>
      <w:pPr>
        <w:pStyle w:val="Heading2"/>
      </w:pPr>
      <w:r>
        <w:t>Regeste</w:t>
      </w:r>
    </w:p>
    <w:p>
      <w:r>
        <w:t>X. /Service des automobiles et de la navigation | Conduite avec un taux d'alcoolémie de 0,97 gr.o/oo. Faute grave atténuée par les circonstances extraordinaires qui ont amené l'intéressé à déplacer sur une courte distance un véhicule mal parqué alors qu'il n'était pas prévu qu'il prenne le volant. Récidive une année et 4 mois après l'échéance d'une précédente mesure ordonnée sous l'ancien droit. Recours admis. Retrait ramené de 14 à 12 mois.</w:t>
      </w:r>
    </w:p>
    <w:p>
      <w:pPr>
        <w:pStyle w:val="Heading2"/>
      </w:pPr>
      <w:r>
        <w:t>Erwägungen</w:t>
      </w:r>
    </w:p>
    <w:p>
      <w:r>
        <w:rPr>
          <w:b/>
        </w:rPr>
        <w:t>E. 1</w:t>
      </w:r>
    </w:p>
    <w:p>
      <w:r>
        <w:t>lit. b LCR. La mesure prononcée à l’égard d’une personne qui a commis une infraction grave est un retrait du permis d’une durée de trois mois au minimum (art. 16c al. 2 lit. a LCR), et de six mois au minimum si, au cours des cinq années précédentes, le permis a été retiré une fois en raison d’une infraction moyennement grave (art. 16c al. 2 lit. b LCR). Le permis de conduire est cependant retiré pour douze mois au minimum si, au cours des cinq précédentes années, le permis a été retiré une fois en raison d’une infraction grave ou à deux reprises en raison d’infractions moyennement graves (art. 16c al. 2 lit. c LCR). En l’espèce, le recourant a fait l’objet d’un retrait de permis prononcé le 9 août 2004 dont l’exécution a pris fin le 15 septembre 2004, soit antérieurement à l’entrée en vigueur le 1 er janvier 2005 des nouvelles dispositions de la LCR. Conformément à l’alinéa 2 des dispositions transitoires, l’art. 17 LCR (dans sa teneur antérieure à la révision du 14 décembre 2001) – et non pas l’art. 16c al. 2 lit. c LCR (dans sa nouvelle teneur) – trouve application dans le présent cas d’espèce. 5.                Aux termes de l’art. 17 al. 1 lit. d LCR, la durée du retrait sera d’une année au minimum si, dans les cinq ans depuis l’expiration d’un retrait de permis frappant un conducteur pris de boisson, celui-ci a de nouveau circulé dans cet état (art. 17 al. 1 lit. d LCR)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 c’est-à-dire l’éventuelle sévérité du précédent retrait pour ivresse au volant, ainsi que les éventuelles autres sanctions déjà encourues par le conducteur – peuvent justifier une augmentation de la durée de la mesure. Dans un arrêt CR.1998.0089 du 20 novembre 1998, le Tribunal administratif a considéré qu’une conduite avec une alcoolémie de 1,75 gr o/oo survenue à peine six mois après l’échéance d’un précédent retrait constituait un comportement grave. La gravité était cependant, en l’espèce, atténuée parce que l’intéressé avait pris soin de se faire conduire à domicile par un ami à sa sortie du restaurant et que ce n’est qu’à la suite de l’accident causé par cet ami que, handicapé, il a pris la voiture sur une distance de 200 m parcourant un chemin peu fréquenté pour ramasser les débris de l’accident dans l’intention de protéger les autres usagers. Le tribunal a, dans ce cas, prononcé un retrait de seize mois et de douze mois pour les catégories C et E. Dans un arrêt plus récent, mais rendu encore sous l'empire de l’ancien droit (CR.2001.0117 du 19 décembre 2003), le tribunal a prononcé un retrait d’une durée de quatre mois à l’encontre d’un automobiliste qui avait circulé avec un taux d’alcoolémie de 0,8 gr o/oo cinq ans, six mois et onze jours après l’échéance d’un précédent retrait. Dans ce cas, le tribunal a retenu que l’intéressé avait été amené à déplacer le véhicule en état d’ébriété sur une très courte distance à une heure où la circulation était pour ainsi dire nulle et dans des circonstances extraordinaires, soit du fait que la conductrice se trouvait en état de choc. Même si l’échéance du délai de récidive était dépassée, le tribunal a cependant tenu compte de la mauvaise réputation de l’intéressé en tant que conducteur pour se distancer du minimum légal de deux mois (prévu par l’art. 17 al. 1 lit. a LCR dans son ancienne teneur). 6.                En l’occurrence, les événements incriminés se sont déroulés une année et quatre mois après l’échéance de la précédente mesure. Le recourant ne se trouve dès lors pas dans un cas où le délai de récidive de cinq ans prévu par l’art. 17 al. 1 lit. d LCR (dans son ancienne teneur) toucherait à sa fin. Concernant la gravité de la faute, il y a lieu de constater qu’au moment de prendre sa décision l’autorité intimée ne connaissait pas l’issue de la procédure pénale. Nanti de la décision pénale rendue dans l’intervalle, le tribunal de céans retient qu’à la suite de circonstances particulières le recourant a été amené à conduire un véhicule automobile en état d’ébriété. Ce jour-là, sachant qu’il consommerait de l’alcool, il avait prévu de se faire ramener à domicile par son épouse. En prenant le volant, l’intention du recourant était d’éviter que son véhicule, mal parqué, n’empêche l’accès de la grue à d’autres usagers. Dans ces conditions, le cas doit être considéré comme étant moins grave que le cas classique d’ivresse au volant où le conducteur n’hésite pas, après avoir bu, à reprendre le volant jusqu’à son domicile, en fréquentant les routes principales, voire l’autoroute sans se soucier de son état. Le tribunal retient également que le recourant a circulé à bord du véhicule sur la voie publique, plus précisément sur une place publique, seulement sur une très courte distance. La mise en danger concrète engendrée par les agissements du recourant paraît ainsi minime. Toutefois, la récidive survient moins de deux ans après la précédente mesure prononcée à son encontre. Son taux d’alcoolémie au moment des faits dépasse le seuil du taux qualifié. Dans tous les cas, le Tribunal ne peut aller en deçà de la durée minimale du retrait du permis prévue par la loi. 6.                Au regard des considérants qui précèdent, le tribunal considère qu’une mesure de retrait du permis de conduire limitée à la durée minimale de douze mois prévue par l’art. 17 al. 1 lit. d LCR (dans son ancienne teneur) suffit à sanctionner un comportement que le juge pénal a qualifié de pas très grave en raison des circonstances qui ont amené le recourant à prendre le volant sur une courte distance. Le recours doit être ainsi admis et la décision entreprise réformée dans ce sens. 7.                Vu l’issue du litige, les frais de justice seront laissés à la charge de l’Etat. Assisté d’un mandataire professionnel, le recourant a par ailleurs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