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CR.2006.0281 vom 12. Januar 2007</w:t>
      </w:r>
    </w:p>
    <w:p>
      <w:r>
        <w:t>VD Tribunal cantonal, 2007-01-12, FR</w:t>
      </w:r>
    </w:p>
    <w:p>
      <w:r>
        <w:rPr>
          <w:b/>
        </w:rPr>
        <w:t xml:space="preserve">Quelle: </w:t>
      </w:r>
      <w:r>
        <w:t>https://mcp.opencaselaw.ch/entscheid/vd_omni_CR.2006.0281</w:t>
      </w:r>
    </w:p>
    <w:p>
      <w:r>
        <w:t>FR: VD_OMNI CR.2006.0281 du 12 janvier 2007</w:t>
      </w:r>
    </w:p>
    <w:p>
      <w:r>
        <w:t>IT: VD_OMNI CR.2006.0281 del 12 gennaio 2007</w:t>
      </w:r>
    </w:p>
    <w:p>
      <w:pPr>
        <w:pStyle w:val="Heading2"/>
      </w:pPr>
      <w:r>
        <w:t>Regeste</w:t>
      </w:r>
    </w:p>
    <w:p>
      <w:r>
        <w:t>X./Service des automobiles et de la navigation | Ne pas accorder la priorité à un véhicule arrivant en sens inverse, en raison d'une inattention, et provoquer un accident constitue une infraction moyennement grave entraînant un retrait d'un mois au moins. Recours rejeté.</w:t>
      </w:r>
    </w:p>
    <w:p>
      <w:pPr>
        <w:pStyle w:val="Heading2"/>
      </w:pPr>
      <w:r>
        <w:t>Erwägungen</w:t>
      </w:r>
    </w:p>
    <w:p>
      <w:r>
        <w:rPr>
          <w:b/>
        </w:rPr>
        <w:t>E. 1</w:t>
      </w:r>
    </w:p>
    <w:p>
      <w:r>
        <w:t>X.________ revient en partie dans son acte de recours sur les circonstances de l’accident survenu le 7 mars 2006 et semble minimiser – pour ne pas dire exclure – sa responsabilité dans ce dernier. Selon la jurisprudence du Tribunal fédéral,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 En l’espèce, la recourante n’a pas contesté la décision rendue par le Préfet qui a retenu qu’elle n’avait pas accordé la priorité, en obliquant à gauche, à un véhicule arrivant en sens inverse. Elle n’a pas non plus fait valoir dans le cadre de la présente procédure de faits inconnus du juge pénal ou présenté des preuves nouvelles dont l’appréciation aurait conduit à un autre résultat. Les conditions permettant à l'autorité administrative de s'écarter du jugement pénal ne sont dès lors pas réunies. Le tribunal relève par ailleurs que, dans sa déposition faite à la police le jour de l’accident, la recourante a admis les faits reprochés. Elle a en effet déclaré qu’elle a obliqué à gauche sans marquer d’arrêt, alors que sa visibilité était masquée par la camionnette qui la précédait, et qu’elle n’avait pas vu qu’un véhicule arrivait ainsi en sens inverse. Sur le vu de ce qui précède, le tribunal retiendra l’état de fait retenu par le Préfet dans sa décision, à savoir que X.________ n’a pas accordé la priorité, en obliquant à gauche, à un véhicule circulant normalement en sens inverse.</w:t>
      </w:r>
    </w:p>
    <w:p>
      <w:r>
        <w:rPr>
          <w:b/>
        </w:rPr>
        <w:t>E. 2</w:t>
      </w:r>
    </w:p>
    <w:p>
      <w:r>
        <w:t>a) Les mesures administratives ordonnées à titre d'admonestation sont régies pas les art. 16a, 16b et 16c LCR. Ces dispositions en vigueur depuis le 1 er janvier 2005 distinguent selon que la mesure est ordonnée après une infraction légère, après une infraction moyennement grave ou après une infraction grave.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de conductueur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Ces définitions du cas grave et du cas moyennement grave dans le nouveau droit correspondent à celles de l'ancien droit (ATF 132 II 234, consid 3.2). Comme le Tribunal fédéral l'a constaté dans un arrêt 6A.16/2006 du 6 avril 2006, la loi fait ainsi la distinction entre le cas de très peu de gravité, le cas de peu de gravité, le cas de gravité moyenne et le cas grave.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 R. Schaffhauser, Die neuen Administrativmassnahmen des Stassenverkehrsgesetzes, in Jahrbuch zum Strassenverkehrsrecht 203, p. 186 ; C. Mizel, Les nouvelles dispositions légales sur le retrait du permis de conduire, in RDAF 2004 p. 392). b)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(art. 16 al. 3 LCR). S’agissant de la durée du retrait, le législateur s’est ainsi clairement prononcé pour un retrait impératif dans les cas de moyenne gravité, même si le contrevenant jouissait d’une réputation sans tache en tant que conducteur. Ce dernier élément ne jouera un rôle que pour fixer la durée du retrait du permis de conduire (ATF 128 II 282).</w:t>
      </w:r>
    </w:p>
    <w:p>
      <w:r>
        <w:rPr>
          <w:b/>
        </w:rPr>
        <w:t>E. 3</w:t>
      </w:r>
    </w:p>
    <w:p>
      <w:r>
        <w:t>Avant d'obliquer à gauche, le conducteur accordera la priorité aux véhicules qui viennent en sens inverse (art. 36 al. 3 LCR). Celui qui est tenu d'accorder la priorité ne doit pas gêner dans sa marche le conducteur bénéficiaire de la priorité. Il réduira sa vitesse à temps et, s'il doit attendre, s'arrêtera avant le début de l'intersection (art. 14 al. 1 OCR). Le conducteur vouera son attention à la route et à la circulation (art. 3 al. 1 OCR). En l’espèce, X.________ n’a pas accordé la priorité, en obliquant à gauche, à un véhicule arrivant en sens inverse. Elle a ainsi violé les règles de la circulation routière mentionnées ci-dessus. Sa faute ne saurait être qualifiée de légère. En effet, la recourante n’a pas marqué de temps d’arrêt avant d’obliquer, alors qu’elle avait la visibilité masquée – elle l’a admis – par une camionnette qui se trouvait devant elle. Elle se devait de vérifier avant de bifurquer en marquant un temps d’arrêt et en regardant la route, si elle devait accorder la priorité à un véhicule venant en sens inverse. Elle a ainsi manifestement manqué aux devoirs de prudence qui lui incombaient. En outre, elle a créé une mise en danger concrète, puisque par son comportement elle a provoqué un accident qui a causé des dégâts matériels non négligeables (arrière droit du véhicule de la recourante et avant droit de l'autre véhicule). Au regard de ces éléments, à savoir la faute commise et la mise en danger concrète créée, c’est à juste titre que l’autorité intimée a qualifié l’infraction commise de moyennement grave et a prononcé un retrait fondé sur l’art. 16b LCR.</w:t>
      </w:r>
    </w:p>
    <w:p>
      <w:r>
        <w:rPr>
          <w:b/>
        </w:rPr>
        <w:t>E. 4</w:t>
      </w:r>
    </w:p>
    <w:p>
      <w:r>
        <w:t>S’agissant de la durée de la mesure, il ne peut être tenu compte des excellents antécédents de la recourante, dès lors que le retrait de permis d’un mois correspond au minimum légal prévu par le législateur.</w:t>
      </w:r>
    </w:p>
    <w:p>
      <w:r>
        <w:rPr>
          <w:b/>
        </w:rPr>
        <w:t>E. 5</w:t>
      </w:r>
    </w:p>
    <w:p>
      <w:r>
        <w:t>Le recours doit dès lors être rejeté aux frais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