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CR.2006.0276 vom 17. Dezember 2007</w:t>
      </w:r>
    </w:p>
    <w:p>
      <w:r>
        <w:t>VD Tribunal cantonal, 2007-12-17, FR</w:t>
      </w:r>
    </w:p>
    <w:p>
      <w:r>
        <w:rPr>
          <w:b/>
        </w:rPr>
        <w:t xml:space="preserve">Quelle: </w:t>
      </w:r>
      <w:r>
        <w:t>https://mcp.opencaselaw.ch/entscheid/vd_omni_CR.2006.0276</w:t>
      </w:r>
    </w:p>
    <w:p>
      <w:r>
        <w:t>FR: VD_OMNI CR.2006.0276 du 17 décembre 2007</w:t>
      </w:r>
    </w:p>
    <w:p>
      <w:r>
        <w:t>IT: VD_OMNI CR.2006.0276 del 17 dicembre 2007</w:t>
      </w:r>
    </w:p>
    <w:p>
      <w:pPr>
        <w:pStyle w:val="Heading2"/>
      </w:pPr>
      <w:r>
        <w:t>Regeste</w:t>
      </w:r>
    </w:p>
    <w:p>
      <w:r>
        <w:t>X.________ /Service des automobiles et de la navigation | Le recourant, chauffeur de poids lourds, ne roulait pas à une vitesse adaptée au vu des conditions et de la configuration des lieux (route mouillée, trafic dense, galerie provisoire, croisement difficile). Le recourant n'a par ailleurs pas respecté une distance suffisante du véhicule le précédant. Enfin, il a usé de son téléphone portable sans utiliser de dispositif "main libres". Concours d'infractions: il convient de partir de la durée minimale de la faute la plus grave et de tenir compte des autres infractions dans le sens d'une aggravation de la mesure. Au vu des éléments à charge (concours) et à décharge (excellents antécédents et utilité professionnelle), la durée du retrait est ramenée de trois à deux mois.</w:t>
      </w:r>
    </w:p>
    <w:p>
      <w:pPr>
        <w:pStyle w:val="Heading2"/>
      </w:pPr>
      <w:r>
        <w:t>Erwägungen</w:t>
      </w:r>
    </w:p>
    <w:p>
      <w:r>
        <w:rPr>
          <w:b/>
        </w:rPr>
        <w:t>E. 1</w:t>
      </w:r>
    </w:p>
    <w:p>
      <w:r>
        <w:t>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se sont produits le 13 avril 2005, respectivement le 6 juillet 2005. Il s’ensuit qu’ils tombent sous le coup de la loi fédérale du 19 décembre 1958 sur la circulation routière (LCR; RS 741.01), dont les dispositions modifiées le 14 décembre 2001 (RO 2002, p. 2767) sont entrées en vigueur le 1 er janvier 2005 (RO 2004, p. 2849).</w:t>
      </w:r>
    </w:p>
    <w:p>
      <w:r>
        <w:rPr>
          <w:b/>
        </w:rPr>
        <w:t>E. 3</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c/bb). L’autorité administrative, statuant sur un retrait de permis, ne peut s’écarter, sauf exceptions, des faits retenus dans une décision pénale entrée en force, à moins qu’elle ne soit en mesure de fonder sa décision sur des constatations de fait inconnues du juge pénal ou qu’il n’a pas prises en considération, qu’il n’existe des preuves nouvelles dont l’appréciation conduirait à un autre résultat, que l’appréciation à laquelle s’est livrée le juge pénal se heurte clairement aux faits constatés ou que le juge pénal n’a pas élucidé toutes les questions de droit, en particulier celles qui touchent à la violation des règles de circulation (ATF 109 Ib 203, ainsi que les autres arrêts rappelés dans l’ATF 119 ib 158, consid. 3).</w:t>
      </w:r>
    </w:p>
    <w:p>
      <w:r>
        <w:rPr>
          <w:b/>
        </w:rPr>
        <w:t>E. 4</w:t>
      </w:r>
    </w:p>
    <w:p>
      <w:r>
        <w:t>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Comme l’a jugé le Tribunal fédéral dans un arrêt du 6 avril 2006,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 arrêt du Tribunal fédéral 6A.16/2006 du 6 avril 2006).</w:t>
      </w:r>
    </w:p>
    <w:p>
      <w:r>
        <w:rPr>
          <w:b/>
        </w:rPr>
        <w:t>E. 5</w:t>
      </w:r>
    </w:p>
    <w:p>
      <w:r>
        <w:t>a) Selon l’art. 34 al. 4 LCR, le conducteur observera une distance suffisante envers tous les autres usagers de la route, notamment lorsque les véhicules se suivent; l’art. 12 al. 1  de l'ordonnance du 13 novembre 1962 sur les règles de la circulation routière (OCR; RS 741.11) précise que, lorsque des véhicules se suivent, le conducteur se tiendra à une distance suffisante du véhicule qui le précède, afin de pouvoir s’arrêter à temps en cas de freinage inattendu. Dans un arrêt du 11 février 2005 (ATF 131 IV 133), le Tribunal fédéral a retenu que le fait de talonner un véhicule en train de dépasser deux autres usagers, à plus de 100 km/h sur 800 mètres et à une distance de 10 mètres environ, représentait un danger abstrait accru et constituait ainsi une violation grave d'une règle essentielle de la circulation au sens de l'art. 90 ch. 2 LCR (dans ce sens encore, cf CR.2006.0248 du 30 avril 2007; CR.2007.0125 du 1 er octobre 2007; CR.2007.0082 du 15 octobre 2007). b) En l’espèce, il ressort du rapport de police que le recourant a talonné un véhicule à une distance de quelques 8 à</w:t>
      </w:r>
    </w:p>
    <w:p>
      <w:r>
        <w:rPr>
          <w:b/>
        </w:rPr>
        <w:t>E. 9</w:t>
      </w:r>
    </w:p>
    <w:p>
      <w:r>
        <w:t>Selon l’art. 33 al. 1 de l'ordonnance du 27 octobre 1976 réglant l'admission à la circulation routière (OAC; RS 741.51), le retrait du permis de conduire d’une catégorie ou sous-catégorie de véhicules automobiles entraîne le retrait du permis de toutes les catégories et sous-catégories de véhicules. Afin d’éviter les conséquences d’une rigueur excessive, l’art. 33 al. 5 OAC prévoit que le retrait du permis de conduire peut être décidé pour une durée différente selon les catégories, sous-catégories ou catégories spéciales, sous réserve d’observer la durée minimale fixée par la loi. Cette manière de faire est autorisée notamment lorsque l’intéressé a commis une infraction justifiant la mesure de retrait avec un véhicule dont il n’a pas besoin pour exercer sa profession et lorsqu’il jouit d’une bonne réputation en tant que conducteur des véhicules de la catégorie pour laquelle il s’agit d’abréger la durée de retrait. En l’espèce, le recourant sollicite une adaptation de la mesure de retrait, afin de pouvoir continuer à conduire les véhicules des catégories C et E et de poursuivre ainsi son activité professionnelle malgré la mesure de retrait de permis. Cet aménagement n’est toutefois pas envisageable dans son cas, étant donné que le recourant a commis les infractions susmentionnées au volant d’un poids lourds.</w:t>
      </w:r>
    </w:p>
    <w:p>
      <w:r>
        <w:rPr>
          <w:b/>
        </w:rPr>
        <w:t>E. 10</w:t>
      </w:r>
    </w:p>
    <w:p>
      <w:r>
        <w:t>Au vu des considérations qui précèdent, le recours est partiellement admis. La décision entreprise sera réformée et la durée du retrait ramenée à deux mois.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