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CR.2006.0223 vom 21. Juni 2006</w:t>
      </w:r>
    </w:p>
    <w:p>
      <w:r>
        <w:t>VD Tribunal cantonal, 2006-06-21, FR</w:t>
      </w:r>
    </w:p>
    <w:p>
      <w:r>
        <w:rPr>
          <w:b/>
        </w:rPr>
        <w:t xml:space="preserve">Quelle: </w:t>
      </w:r>
      <w:r>
        <w:t>https://mcp.opencaselaw.ch/entscheid/vd_omni_CR.2006.0223</w:t>
      </w:r>
    </w:p>
    <w:p>
      <w:r>
        <w:t>FR: VD_OMNI CR.2006.0223 du 21 juin 2006</w:t>
      </w:r>
    </w:p>
    <w:p>
      <w:r>
        <w:t>IT: VD_OMNI CR.2006.0223 del 21 giugno 2006</w:t>
      </w:r>
    </w:p>
    <w:p>
      <w:pPr>
        <w:pStyle w:val="Heading2"/>
      </w:pPr>
      <w:r>
        <w:t>Regeste</w:t>
      </w:r>
    </w:p>
    <w:p>
      <w:r>
        <w:t>X. /Service des automobiles et de la navigation | Confirmation d'un retrait préventif à l'encontre d'un conducteur qui commet plusieurs infractions graves sur l'autoroute 4 jours seulement après avoir volontairement heurté un véhicule et qui a fait l'objet de 10 mesures de retrait depuis 1997 pour une durée totale de 28 mois. Le recourant apparaît comme un danger imminent pour la sécurité du trafic et doit dès lors en être écarté. Confirmation par ailleurs de l'expertise auprès de l'UMTR.</w:t>
      </w:r>
    </w:p>
    <w:p>
      <w:pPr>
        <w:pStyle w:val="Heading2"/>
      </w:pPr>
      <w:r>
        <w:t>Erwägungen</w:t>
      </w:r>
    </w:p>
    <w:p>
      <w:r>
        <w:rPr>
          <w:b/>
        </w:rPr>
        <w:t>E. 1</w:t>
      </w:r>
    </w:p>
    <w:p>
      <w:r>
        <w:t>LCR fixant les conditions de délivrance et de retrait des permis de conduire.</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w:t>
      </w:r>
    </w:p>
    <w:p>
      <w:r>
        <w:rPr>
          <w:b/>
        </w:rPr>
        <w:t>E. 3</w:t>
      </w:r>
    </w:p>
    <w:p>
      <w:r>
        <w:t>En l’espèce, l'autorité intimée considère que les infractions commises par le recourant le 11 avril 2006 (excès de vitesse de 47 et 64 km/h sur l'autoroute, non respect de la distance de sécurité en circulation en file, dépassement d'un véhicule qui en dépasse un autre, circulation sur une surface interdite au trafic, changement de direction pas annoncé ) font naître des doutes sérieux sur son aptitude à conduire. L’autorité intimée semble ainsi soupçonner le recourant de présenter une inaptitude caractérielle à la conduite automobile. La question qui se pose est celle de savoir si, au vu des événements survenus le 11 avril 2006, il est urgent de retirer immédiatement le recourant de la circulation compte tenu des risques qu’il représente pour les autres usagers de la route. Dans d’autres affaires concernant de très graves excès de vitesse (CR.2003.0251, CR.2004.0010, CR.2004.0023, en l'absence de circonstances accessoires à la commission de cette infraction pouvant révéler que l'intéressé n'était pas capable d'évaluer la situation ) ou de comportements fortement répréhensibles au volant (conducteurs violents prenant à partie d’autres automobilistes ou épisodes de conduite dangereuse), le tribunal a annulé les retraits préventifs ordonnés par l’autorité intimée en considérant qu'i l n'y avait pas matière à présumer que le recourant risquerait de récidiver prochainement sous l'effet de pulsions irrépressibles (CR.2004.0224) ou qu'il s'agissait d'un épisode isolé dans la vie d'automobiliste de l'intéressé (CR.2004.0269 et CR.2004.0287).</w:t>
      </w:r>
    </w:p>
    <w:p>
      <w:r>
        <w:rPr>
          <w:b/>
        </w:rPr>
        <w:t>E. 4</w:t>
      </w:r>
    </w:p>
    <w:p>
      <w:r>
        <w:t>En l’espèce, le recourant semble avoir confondu l'autoroute avec un circuit automobile : non seulement, les excès de vitesse commis sont énormes, mais il a encore talonné des véhicules à très haute vitesse, dépassé une voiture dans l'espace situé entre la voiture et la berme centrale, manqué de perdre la maîtrise de sa moto et tenté d'échapper à la patrouille de police qui l'avait pris en chasse, feux bleus et sirène enclenchés. Ce n'est que par pure chance qu'aucun accident n'est survenu. En outre, une fois interpellé, le recourant n'a pas admis tous les faits qui lui était reprochés et a déclaré aux policiers qu'ils auraient à faire avec son avocat. Cet épisode de conduite dangereuse n’apparaît pas comme un acte isolé puisque le recourant a commis une autre infraction le 7 avril 2006 (il semble avoir volontairement heurté le véhicule dans lequel se trouvaient son ancienne maîtresse et le mari de celle-ci), soit quatre jours avant l'infraction litigieuse et qu'il a fait l'objet de dix mesures de retrait du permis de conduire depuis 1997 pour une durée totale de vingt-huit mois. Un tel comportement au volant démontre ainsi un mépris flagrant des règles de la circulation routière, un irrespect patent des précédentes sanctions prononcées à son encontre et un échec cuisant du cours d'éducation routière suivi en 2002. Dans ces conditions, comme dans l'arrêt CR.2005.0150, le tribunal ne peut que présumer que le recourant risque de récidiver prochainement sous l'effet de pulsions qu’il semble malheureusement incapable de maîtriser. L e recourant apparaît dès lors comme un danger imminent pour la sécurité du trafic et il est convient de l’écarter immédiatement de la circulation routière, de sorte qu’une mesure de retrait préventif se justifie.</w:t>
      </w:r>
    </w:p>
    <w:p>
      <w:r>
        <w:rPr>
          <w:b/>
        </w:rPr>
        <w:t>E. 5</w:t>
      </w:r>
    </w:p>
    <w:p>
      <w:r>
        <w:t>S'agissant de l'obligation de se soumettre à une expertise médicale en cas de soupçon d'alcoolisme, le Tribunal fédéral a jugé à ce sujet qu'une telle mesure portait profondément atteinte à la sphère personnelle. Il faut donc procéder d'office et dans chaque cas particulier à un examen des circonstances personnelles et des habitudes de l'intéressé en matière de boissons. L'autorité doit user correctement de son pouvoir d'appréciation au vu des circonstances du cas pour déterminer l'étendue des mesures d'instruction nécessaires, notamment pour décider si une expertise médicale doit être ordonnée (ATF 104 Ib 46, c.1a, JT 1978 I 412). Il en va de même lorsque le soupçon porte sur une inaptitude caractérielle, comme dans le cas présent. En l'espèce, vu les craintes que suscite le comportement du recourant en tant que conducteur, l’expertise auprès de l’UMTR, que le recourant ne conteste d’ailleurs pas expressément, doit être confirmée. Au vu de ce qui précède, le recours doit être rejeté. Au vu du caractère sommaire de la présente procédure, un émolument réduit sera mis à la charge du recourant qui n’a pas droit à des dépens. Le dossier est renvoyé à l'autorité intimée pour qu'elle rende une décision finale à connaissance du résultat de l’expertise de l’UMTR.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