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CR.2006.0219 vom 21. September 2006</w:t>
      </w:r>
    </w:p>
    <w:p>
      <w:r>
        <w:t>VD Tribunal cantonal, 2006-09-21, FR</w:t>
      </w:r>
    </w:p>
    <w:p>
      <w:r>
        <w:rPr>
          <w:b/>
        </w:rPr>
        <w:t xml:space="preserve">Quelle: </w:t>
      </w:r>
      <w:r>
        <w:t>https://mcp.opencaselaw.ch/entscheid/vd_omni_CR.2006.0219</w:t>
      </w:r>
    </w:p>
    <w:p>
      <w:r>
        <w:t>FR: VD_OMNI CR.2006.0219 du 21 septembre 2006</w:t>
      </w:r>
    </w:p>
    <w:p>
      <w:r>
        <w:t>IT: VD_OMNI CR.2006.0219 del 21 settembre 2006</w:t>
      </w:r>
    </w:p>
    <w:p>
      <w:pPr>
        <w:pStyle w:val="Heading2"/>
      </w:pPr>
      <w:r>
        <w:t>Regeste</w:t>
      </w:r>
    </w:p>
    <w:p>
      <w:r>
        <w:t>X. /Service des automobiles et de la navigation | Le conducteur qui prend différentes mesures pour éviter de s'endormir au volant lors d'un long trajet (sieste avant de partir et arrêts en cours de route pour prendre un café ou dormir) mais qui s'assoupit brièvement malgré ces mesures, commet une infraction de moyenne gravité. Le cas n'étant pas un cas grave, le recourant échappe au minimum légal de six mois prévu par l'ancien art. 17 al. 1 let. c LCR applicable en l'espèce au vu de l'alinéa 2 des dispositions transitoires de la LCR. Un retrait de permis s'en tenant au minimum légal d'un mois est adéquat en l'espèce au vu des antécédents du recourant et de l'utilité professionnelle du permis. RECOURS DE L'OFROU ET DU SA ADMIS PAR LE TRIBUNAL FEDERAL.</w:t>
      </w:r>
    </w:p>
    <w:p>
      <w:pPr>
        <w:pStyle w:val="Heading2"/>
      </w:pPr>
      <w:r>
        <w:t>Erwägungen</w:t>
      </w:r>
    </w:p>
    <w:p>
      <w:r>
        <w:rPr>
          <w:b/>
        </w:rPr>
        <w:t>E. 1</w:t>
      </w:r>
    </w:p>
    <w:p>
      <w:r>
        <w:t>L'infraction litigieuse a eu lieu en 2005, de sorte que les nouvelles dispositions légales, entrées en vigueur le 1 er janvier 2005, sont applicables en l'espèce.</w:t>
      </w:r>
    </w:p>
    <w:p>
      <w:r>
        <w:rPr>
          <w:b/>
        </w:rPr>
        <w:t>E. 2</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3</w:t>
      </w:r>
    </w:p>
    <w:p>
      <w:r>
        <w:t>Quiconque est pris de boisson, surmené ou n’est pas en mesure, pour d’autres raisons, de conduire un véhicule, est tenu de s’en abstenir (art. 31 al. 2 LCR). Dans un arrêt rendu le 30 mars 2000 (ATF 126 II 206 ; JdT 2000 I 401), le Tribunal fédéral a relevé que, compte tenu des différents symptômes de fatigue, on pouvait affirmer qu'un conducteur en bonne santé, et qui n'est pas incapable de conduire pour d'autres raisons, ne peut pas s'endormir au volant sans avoir, au préalable, des signes de fatigue reconnaissables subjectivement. Le Tribunal fédéral a donc jugé que la faute du conducteur qui s'assoupit au volant doit, en principe, être qualifiée de grave et qu'on se trouve donc normalement en présence d'un cas de mise en danger abstraite accrue, la faute devant en principe également être qualifiée de grave. Celui qui se met au volant dans un état de fatigue tel qu'il va s'endormir à la prochaine occasion sans autre avertissement, agit de façon grossièrement négligente. Celui qui au contraire prend sa voiture en état de conduire ne s'assoupit pas sans signes avant-coureurs de fatigue subjectivement reconnaissables. Agit par conséquent de façon grossièrement négligente le conducteur qui ne tient pas compte de ces symptômes évidents dans l'espoir qu'il restera éveillé jusqu'au bout de son trajet. C'est un des devoirs les plus élémentaires et les plus importants du conducteur de s'efforcer activement de rester éveillé tant qu'il se trouve dans la circulation (ATF précité, consid. 1a).</w:t>
      </w:r>
    </w:p>
    <w:p>
      <w:r>
        <w:rPr>
          <w:b/>
        </w:rPr>
        <w:t>E. 4</w:t>
      </w:r>
    </w:p>
    <w:p>
      <w:r>
        <w:t>En l'espèce, le recourant conteste s'être assoupi au volant et affirme que l'accident a été provoqué par un défaut technique de son véhicule.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l'espèce, le préfet a retenu que le recourant a circulé en étant surmené et qu'il perdu la maîtrise de son véhicule. Cette décision n'a pas été contestée par le recourant. Dans ces conditions, le tribunal de céans est lié par les faits retenus par le juge pénal, dès lors que le dossier ne contient aucun élément permettant de remettre en cause l'appréciation effectuée par le juge pénal. En effet, l'hypothèse du défaut technique du véhicule avancée par le recourant n'est absolument pas étayée. Le véhicule accidenté n'ayant pas été expertisé, il n'y a aucune preuve de ce que soutient le recourant. Par ailleurs, la déposition du témoin qui déclare que la voiture du recourant a dévié doucement vers la gauche tend à démontrer que le recourant s'est bien assoupi au volant. Enfin, dans sa première déclaration à la police, le recourant a bel et bien évoqué un probable assoupissement et il a déclaré en audience qu'il voulait s'arrêter pour boire un café au restoroute de Bursins car il se sentait un peu fatigué. Dans ces conditions, le tribunal retiendra que le recourant s'est assoupi un bref instant au volant, ce qui lui a fait perdre la maîtrise de son véhicule. La mise en danger provoquée par ce comportement est importante, car ce n'est que par pure chance qu'aucun autre usager de la route n'a été impliqué dans l'accident. La faute commise par le recourant réside dans le fait de ne pas s'être arrêté immédiatement lorsque sont apparus les premiers symptômes d'assoupissement (paupières lourdes, vision trouble, irritation des yeux, etc) que se doit de reconnaître tout conducteur qui effectue un long trajet. Cependant, contrairement au conducteur qui a fait l'objet de l'arrêt CR.2004.0386 dans lequel le Tribunal administratif a jugé que la faute commise était grave, le recourant a pris différentes mesures pour éviter de s'endormir au volant : il a fait une sieste avant de prendre la route, il s'est arrêté plusieurs fois en chemin pour boire un café ou dormir un moment. Sa faute apparaît ainsi moins grave que celle du conducteur qui effectue un long trajet d'une seule traite sans prendre le temps de s'arrêter pour se reposer. La faute du recourant peut par conséquent encore être considérée comme moyenne et l'infraction comme une infraction moyennement grave au sens de l'art. 16b al. 1 let. a LCR.</w:t>
      </w:r>
    </w:p>
    <w:p>
      <w:r>
        <w:rPr>
          <w:b/>
        </w:rPr>
        <w:t>E. 5</w:t>
      </w:r>
    </w:p>
    <w:p>
      <w:r>
        <w:t>Selon l'art. 16b al. 2 let. a LCR, après une infraction moyennement grave, le permis de conduire est retiré pour un mois au minimum; il est retiré pour quatre mois au minimum si, au cours des deux années précédentes, le permis a été retiré une fois en raison d’une infraction grave ou moyennement grave (art. 16b al. 2 let. b LCR). En l'espèce, le recourant a fait l'objet d'un retrait de permis d'un mois qui a pris fin en août 2003. Si on appliquait le nouveau droit, il tomberait sous le coup de l'art. 16b al. 2 let. b LCR et encourrait un retrait de permis de quatre mois au moins. En effet, selon les dispositions transitoires de la modification de la LCR du 14 décembre 2001 en vigueur depuis le 1 er janvier 2005, le nouveau droit s’applique aux infractions commises après son entrée en vigueur (alinéa 1 des dispositions transitoires); toutefois, les mesures ordonnées en vertu de l’ancien droit sont régies par ce dernier (alinéa 2 des dispositions transitoires). Cette disposition transitoire signifie qu'en cas de récidive, les mesures prononcées sous l'ancien droit, prises en considération conformément à l'ancien droit, ne déclenchent pas les conséquences plus sévères du nouveau droit mais n'ont que les conséquences qu'elles auraient eues sous l'ancien droit (CR.2005.0341 du 8 juin 2006).</w:t>
      </w:r>
    </w:p>
    <w:p>
      <w:r>
        <w:rPr>
          <w:b/>
        </w:rPr>
        <w:t>E. 6</w:t>
      </w:r>
    </w:p>
    <w:p>
      <w:r>
        <w:t>Selon les anciens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 a LCR, la durée du retrait sera d'un mois au moins. Le cas n'étant pas grave au sens de l'art. 16c al. 1 let. a LCR (ou de l'ancien art. 16 al. 3 let. a LCR), le recourant échappe au minimum légal de six mois prévu par l'ancien art. 17 al. 1 let. c LCR. En l'espèce, v u la précédente mesure administrative subie en 2003 par le recourant, il pourrait se justifier de s'écarter du minimum légal d'un mois et de prononcer une durée s'écartant de cette durée minimale. Cependant, compte tenu de l'importante utilité professionnelle dont peut se prévaloir le recourant en tant que chef de chantier conduisant des véhicules pour son entreprise, il se justifie de s'en tenir au minimum légal d'un mois.</w:t>
      </w:r>
    </w:p>
    <w:p>
      <w:r>
        <w:rPr>
          <w:b/>
        </w:rPr>
        <w:t>E. 7</w:t>
      </w:r>
    </w:p>
    <w:p>
      <w:r>
        <w:t>Au vu de ce qui précède, la décision attaquée est réformée en ce sens que la durée du retrait est ramenée à un mois. Le recours est par conséquent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