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CR.2006.0196 vom 17. Juli 2007</w:t>
      </w:r>
    </w:p>
    <w:p>
      <w:r>
        <w:t>VD Tribunal cantonal, 2007-07-17, FR</w:t>
      </w:r>
    </w:p>
    <w:p>
      <w:r>
        <w:rPr>
          <w:b/>
        </w:rPr>
        <w:t xml:space="preserve">Quelle: </w:t>
      </w:r>
      <w:r>
        <w:t>https://mcp.opencaselaw.ch/entscheid/vd_omni_CR.2006.0196</w:t>
      </w:r>
    </w:p>
    <w:p>
      <w:r>
        <w:t>FR: VD_OMNI CR.2006.0196 du 17 juillet 2007</w:t>
      </w:r>
    </w:p>
    <w:p>
      <w:r>
        <w:t>IT: VD_OMNI CR.2006.0196 del 17 luglio 2007</w:t>
      </w:r>
    </w:p>
    <w:p>
      <w:pPr>
        <w:pStyle w:val="Heading2"/>
      </w:pPr>
      <w:r>
        <w:t>Regeste</w:t>
      </w:r>
    </w:p>
    <w:p>
      <w:r>
        <w:t>X.________ /Service des automobiles et de la navigation | En raison d'une inattention, le recourant n'a pas accordé la priorité de droite à un motocycle qui en bénéficiait. Sa faute doit être qualifiée de moyennement grave. Retrait d'un mois confirmé.</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se sont produits le 25 mai 2004. Il s’ensuit que les dispositions légales pertinentes de la loi fédérale du 19 décembre 1958 sur la circulation routière en vigueur à cette date (ci-après : LCR) sont applicables, s’agissant de leur qualification juridique et de leur sanction, à l’exclusion des nouvelles dispositions légales entrées en vigueur le 1 er janvier 2005 (cf. disposition finale de la modification du 14 décembre 2001 de la LCR, al. 1).</w:t>
      </w:r>
    </w:p>
    <w:p>
      <w:r>
        <w:rPr>
          <w:b/>
        </w:rPr>
        <w:t>E. 3</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En outre,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4</w:t>
      </w:r>
    </w:p>
    <w:p>
      <w:r>
        <w:t>Selon l’art. 36 al. 2 LCR, le véhicule qui vient de droite a la priorité aux intersections. Le recourant ne maintient pas, dans son recours, sa version des faits initiale selon laquelle il était arrêté lorsque le motocycle l’a heurté. Il explique en effet dans son recours qu’il s’avançait très lentement en direction du milieu de la chaussée, compte tenu du fait que sa visibilité sur la droite était masquée par une haie, lorsqu’un motocycliste est survenu « à vive allure » sur la voie prioritaire, a amorcé une manœuvre d’évitement, est parti en glissade, puis est tombé. A lire cette nouvelle version des faits, il semblerait que le motocycle n’ait pas heurté la voiture du recourant ; en réalité, tel a bien été le cas ainsi que cela résulte des déclarations concordantes tant du recourant que du motocycliste aux policiers. Le recourant ne nie pas, au surplus, que le motocycle était prioritaire à l’intersection en question. La présence de la haie ne change rien à cet état de fait. Quant à la vitesse à laquelle circulait le motocycliste, celui-ci a indiqué aux policiers qu’elle était de 30 km/h. De son côté, le recourant indique que le motocycle est survenu « à vive allure », sans plus de précisions. Par ailleurs, le recourant a été condamné par le Préfet d’Yverdon à une amende de 250 fr., notamment pour avoir été inattentif au volant de son véhicule au point de ne pas accorder la priorité de droite à un motocycle qui en bénéficiait. Ce prononcé, non contesté, est entré en force. Aucun élément ne justifie de s’écarter de ces constatations de fait.</w:t>
      </w:r>
    </w:p>
    <w:p>
      <w:r>
        <w:rPr>
          <w:b/>
        </w:rPr>
        <w:t>E. 5</w:t>
      </w:r>
    </w:p>
    <w:p>
      <w:r>
        <w:t>Selon l'art. 16 al. 2 LCR (ancien), le permis de conduire peut être retiré au conducteur qui, par des infractions aux règles de la circulation, a compromis la sécurité de la route ou incommodé le public. Un simple avertissement pourra être donné dans les cas de peu de gravité. Aux termes de l'art. 16 al. 3 let. a LCR (ancien), le permis de conduire doit être retiré si le conducteur a compromis gravement la sécurité de la route. La loi fait la distinction entre le cas de peu de gravité (art. 16 al. 2, 2 ème phrase LCR [ancien]), le cas de gravité moyenne (art. 16 al. 2, 1 ère phrase LCR [ancien]) et le cas grave (art. 16 al. 3 lit. a LCR [ancien];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[ancien])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lit. a LCR (ancien) (ATF 123 II 109 consid. 2a).</w:t>
      </w:r>
    </w:p>
    <w:p>
      <w:r>
        <w:rPr>
          <w:b/>
        </w:rPr>
        <w:t>E. 6</w:t>
      </w:r>
    </w:p>
    <w:p>
      <w:r>
        <w:t>Selon la jurisprudence du Tribunal fédéral (ATF125 II 561), pour déterminer si le cas est de peu de gravité selon l'art. 16 al. 2 LCR (ancien), il faut prendre en considération la gravité de la faute commise et la réputation du contrevenant en tant que conducteur; la gravité de la mise en danger du trafic n'est prise en compte que dans la mesure où elle est significative pour la faute. Une réputation d'automobiliste sans taches ne peut conduire au prononcé d'un avertissement, en lieu et place d'un retrait de permis, que si la faute est légère (ATF 125 II 561; ATF 126 II 192 consid. 2c; ATF 126 II 202). En l'espèce, il faut reprocher au recourant d'avoir provoqué un accident en raison du fait qu’il n’a pas accordé la priorité au motocycle survenu par sa droite à l’intersection. Sa faute a été, à juste titre, qualifiée de moyennement grave. Il en va généralement ainsi, d’après la jurisprudence du tribunal de céans, en cas de refus de la priorité à une intersection (CR.2004.0030 du 31 mars 2005), ou lorsqu’un conducteur oblique à gauche sans accorder la priorité au véhicule venant en sens inverse (CR.2000.0126 du 28 novembre 2000; CR.2001.0059 du 30 mai 2002 ; CR.2004.0106 du 26 juillet 2004). Enfin, on ne saurait nier que cet accident a concrètement et gravement mis en danger la sécurité du motocycliste, même si celui-ci n'a, heureusement, pas été gravement blessé. Les circonstances ne laissent ainsi pas place au prononcé d'un simple avertissement (v. CR.1999.0011 du 15 juillet 1999). Une mesure de retrait de permis est donc justifiée, même si l'intéressé, qui est titulaire d'un permis de conduire depuis plusieurs dizaines d’années, peut se prévaloir de bons antécédents (dans ce sens, arrêt CR.1993.0432, du 22 février 1994 et les références citées, confirmé par un arrêt du Tribunal fédéral non publié H. S. c/ Tribunal administratif du canton de Vaud du 22 février 1994, arrêt 6A.34/1994). La qualification des faits dépend en effet de l'acte commis, et les antécédents ne jouent à ce stade aucun rôle (SJ 1992 p. 613).</w:t>
      </w:r>
    </w:p>
    <w:p>
      <w:r>
        <w:rPr>
          <w:b/>
        </w:rPr>
        <w:t>E. 7</w:t>
      </w:r>
    </w:p>
    <w:p>
      <w:r>
        <w:t>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[anciens]). La durée du retrait ne sera de toute façon pas inférieure à un mois (art. 17 al. 1 lit. a LCR [ancien]). Ordonnée pour la durée minimale prévue par l'art. 17 al. 1 lit. a LCR (ancien), la mesure attaquée ne peut qu'être confirmée.</w:t>
      </w:r>
    </w:p>
    <w:p>
      <w:r>
        <w:rPr>
          <w:b/>
        </w:rPr>
        <w:t>E. 8</w:t>
      </w:r>
    </w:p>
    <w:p>
      <w:r>
        <w:t>Au vu des considérants qui précèdent, le recours est rejeté.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