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CR.2006.0157 vom 8. Februar 2007</w:t>
      </w:r>
    </w:p>
    <w:p>
      <w:r>
        <w:t>VD Tribunal cantonal, 2007-02-08, FR</w:t>
      </w:r>
    </w:p>
    <w:p>
      <w:r>
        <w:rPr>
          <w:b/>
        </w:rPr>
        <w:t xml:space="preserve">Quelle: </w:t>
      </w:r>
      <w:r>
        <w:t>https://mcp.opencaselaw.ch/entscheid/vd_omni_CR.2006.0157</w:t>
      </w:r>
    </w:p>
    <w:p>
      <w:r>
        <w:t>FR: VD_OMNI CR.2006.0157 du 8 février 2007</w:t>
      </w:r>
    </w:p>
    <w:p>
      <w:r>
        <w:t>IT: VD_OMNI CR.2006.0157 del 8 febbraio 2007</w:t>
      </w:r>
    </w:p>
    <w:p>
      <w:pPr>
        <w:pStyle w:val="Heading2"/>
      </w:pPr>
      <w:r>
        <w:t>Regeste</w:t>
      </w:r>
    </w:p>
    <w:p>
      <w:r>
        <w:t>X. /Service des automobiles et de la navigation | A réception de l'avis de suspension ou de cessation de l'assurance RC donné par l'assureur, l'autorité doit immédiatement retirer le permis de circulation et les plaques d'immatriculation. Elle n'a pas à examiner le bien fondé de l'avis de suspension ou de cessation donné par l'assureur. Il est vrai que l'assureur commettrait un abus s'il se servait de l'avis donné au Service des automobiles - qui entraîne le retrait des plaques - dans le but de contraindre l'assuré au paiement d'une prestation sans rapport avec l'assurance responsabilité civile du véhicule. Cela reste cependant sans influence sur le sort du recours.</w:t>
      </w:r>
    </w:p>
    <w:p>
      <w:pPr>
        <w:pStyle w:val="Heading2"/>
      </w:pPr>
      <w:r>
        <w:t>Erwägungen</w:t>
      </w:r>
    </w:p>
    <w:p>
      <w:r>
        <w:rPr>
          <w:b/>
        </w:rPr>
        <w:t>E. 1</w:t>
      </w:r>
    </w:p>
    <w:p>
      <w:r>
        <w:t>Il ressort du dossier et de la détermination de l’autorité intimée que le recourant a transmis le 23 mars 2006 au Service automobile une nouvelle attestation d’assurance, ce qui a rendu caduque la mesure de retrait du permis de circulation et des plaques d’immatriculation prononcée par décision du 17 mars 2006. Dès lors, seule demeure litigieuse la question du bien fondé de l’émolument de 200 francs perçu pour la décision attaquée.</w:t>
      </w:r>
    </w:p>
    <w:p>
      <w:r>
        <w:rPr>
          <w:b/>
        </w:rPr>
        <w:t>E. 2</w:t>
      </w:r>
    </w:p>
    <w:p>
      <w:r>
        <w:t>Le recourant fait valoir qu’il n’a pas eu de retard dans le paiement de l’assurance de base, mais uniquement dans celui d’une couverture supplémentaire (protection du bonus) à la suite de malentendus avec son assureur. Il est vrai que l'assureur commettrait un abus s'il se servait de l'avis donné au Service des automobiles - qui entraîne le retrait des plaques - dans le but de contraindre l'assuré au paiement d'une prestation sans rapport avec l'assurance responsabilité civile du véhicule. On peut toutefois renoncer à examiner si tel a été le cas en l'espèce car cela ne changerait rien à l'issue du litige pour les motifs qui suivent.</w:t>
      </w:r>
    </w:p>
    <w:p>
      <w:r>
        <w:rPr>
          <w:b/>
        </w:rPr>
        <w:t>E. 3</w:t>
      </w:r>
    </w:p>
    <w:p>
      <w:r>
        <w:t>Le retrait du permis devient caduc si le détenteur du véhicule remet à l’autorité une nouvelle attestation d’assurance.</w:t>
      </w:r>
    </w:p>
    <w:p>
      <w:r>
        <w:rPr>
          <w:b/>
        </w:rPr>
        <w:t>E. 4</w:t>
      </w:r>
    </w:p>
    <w:p>
      <w:r>
        <w:t>Aux termes de l’art. 24 du règlement du 7 juillet 2004 sur les émoluments perçus par le service des automobiles et de la navigation (ci-après: RE-SAN), la décision de retrait de plaques, signes distinctifs, permis de circulation ou de navigation, est assujettie à un émolument de 200 francs. Conformément à la doctrine et à la jurisprudence, l’émolument administratif est la contrepartie financière due par l’administré qui a recours à un service public, que l’activité de ce dernier ait été déployée d’office ou que l’administré l’ait sollicitée (cf. Knapp, Précis de droit administratif, 4 ème éd., no 2777 et 2780, et les références citées). L’émolument est dû dès que l’activité administrative s’est déroulée ou que la prestation publique est requise ou a été fournie (cf. Moor, Droit administratif III, 1992, no 7.2.4.1, p. 364, et les références citées). Par ailleurs, dans un arrêt FI.1998.0068 du 13 octobre 1998, le Tribunal administratif a jugé, au terme d'une analyse détaillée, que l’émolument prévu à l'art. 4 du Règlement du 11 décembre 1996 sur les émoluments et le tarif des autorisations perçus par le Service des automobiles, cycles et bateaux (disposition qui a été remplacée par l’art. 24 RE-SAN précité dont la teneur est identique) respectait, conformément au droit fédéral, les deux principes dérivés du principe de la proportionnalité : celui de la couverture des frais, d'une part, et celui de l'équivalence, d'autre part (cf. Moor, Droit administratif, vol. III, no 7.2.4.3; arrêt confirmé dans FI.2004.0121 du 1 er mars 2005, cf. aussi ATF 106 Ia 241, consid. 3b ; v. ég. CR 2006.0154 du 15 décembre 2006). Le rappel des principes qui précèdent conduit à constater que l’intervention du Service des automobiles étant comme on l’a vu justifiée, un émolument est dû pour l’activité déployée et que le montant de cet émolument est conforme au règlement.</w:t>
      </w:r>
    </w:p>
    <w:p>
      <w:r>
        <w:rPr>
          <w:b/>
        </w:rPr>
        <w:t>E. 5</w:t>
      </w:r>
    </w:p>
    <w:p>
      <w:r>
        <w:t>Le recours est donc rejeté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