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CR.2006.0156 vom 16. August 2007</w:t>
      </w:r>
    </w:p>
    <w:p>
      <w:r>
        <w:t>VD Tribunal cantonal, 2007-08-16, FR</w:t>
      </w:r>
    </w:p>
    <w:p>
      <w:r>
        <w:rPr>
          <w:b/>
        </w:rPr>
        <w:t xml:space="preserve">Quelle: </w:t>
      </w:r>
      <w:r>
        <w:t>https://mcp.opencaselaw.ch/entscheid/vd_omni_CR.2006.0156</w:t>
      </w:r>
    </w:p>
    <w:p>
      <w:r>
        <w:t>FR: VD_OMNI CR.2006.0156 du 16 août 2007</w:t>
      </w:r>
    </w:p>
    <w:p>
      <w:r>
        <w:t>IT: VD_OMNI CR.2006.0156 del 16 agosto 2007</w:t>
      </w:r>
    </w:p>
    <w:p>
      <w:pPr>
        <w:pStyle w:val="Heading2"/>
      </w:pPr>
      <w:r>
        <w:t>Regeste</w:t>
      </w:r>
    </w:p>
    <w:p>
      <w:r>
        <w:t>X.________ c/Service des automobiles et de la navigation | Perte de maîtrise sur l'autoroute en raison d'une inattention. La conductrice n'a causé que des dommages matériels. Son embardée constituait toutefois une source importante de danger pour les autres usagers et aurait pu avoir des conséquences plus graves. Infraction qualifiée de moyennement grave (art. 16b al. 1 let. a LCR). Retrait d'un mois confirmé.</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à la recourante datent du 9 septembre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L'art. 3 al. 1 de l'ordonnance sur les règles de la circulation routière du 13 novembre 1962 (OCR) prescrit au conducteur de vouer son attention à la route et à la circulation. Il évitera toute occupation qui rendrait plus difficile la conduite du véhicule. Il veillera en outre à ce que son attention ne soit distraite ni par la radio, ni par tout autre appareil reproducteur de son.</w:t>
      </w:r>
    </w:p>
    <w:p>
      <w:r>
        <w:rPr>
          <w:b/>
        </w:rPr>
        <w:t>E. 4</w:t>
      </w:r>
    </w:p>
    <w:p>
      <w:r>
        <w:t>En l’espèce, il est établi que la recourante a perdu la maîtrise de son véhicule qui a heurté à plusieurs reprises la glissière de sécurité bordant la voie d’arrêt d’urgence. Les causes de cette perte de maîtrise donnent toutefois lieu à des explications divergentes: selon la conductrice, la voiture aurait dévié vers la gauche pour une raison inexpliquée, ce qui l’aurait amené à "contrebraquer". Selon les constatations de la police après l’accident, la direction et le moteur du véhicule fonctionnaient normalement; les roues ne présentaient pas non plus de dégâts notables, qui auraient pu causer l’accident. La thèse d’une défectuosité du véhicule avancée implicitement par la recourante n’apparaît dès lors pas crédible. Au surplus, le rapport de police ne fait pas état de gravier sur la bande d’arrêt d’urgence. Ainsi, tout porte à croire que la recourante a fait preuve d’inattention, ce qui a provoqué une perte de maîtrise du véhicule.  Au demeurant, on relève que la recourante a été condamnée à une amende et, selon la jurisprudence du Tribunal fédéral, le juge administratif est lié par les constatations de fait du juge pénal (ATF 121 II 214). Il s’ensuit que la recourante a enfreint les art. 31 et 32 LCR en ne parvenant pas à maîtriser son véhicule.</w:t>
      </w:r>
    </w:p>
    <w:p>
      <w:r>
        <w:rPr>
          <w:b/>
        </w:rPr>
        <w:t>E. 5</w:t>
      </w:r>
    </w:p>
    <w:p>
      <w:r>
        <w:t>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lett. a LCR). Après une infraction moyennement grave, le permis de conduire est retiré pour un mois au minimum (art. 16b al. 2 lett. a LCR). Si au cours des deux années précédentes, le permis de conduire avait déjà été retiré une fois en raison d’une infraction grave ou moyennement grave, le permis de conduire est retiré pour quatre mois au minimum (art. 16b al. 2 lett. b LCR). c) Commet une infraction grave la personne qui, en violant gravement les règles de la circulation, met sérieusement en danger la sécurité d’autrui ou en prend le risque (art. 16c al. 1 lett. a LCR). Après une infraction grave, le permis de conduire est retiré pour trois mois au minimum (art. 16c al. 2 lett. a LCR). Il est retiré pour six mois au minimum si, au cours des cinq années précédentes, le permis a été retiré une fois en raison d’une infraction moyennement grave (art. 16c al. 2 lett. b LCR).</w:t>
      </w:r>
    </w:p>
    <w:p>
      <w:r>
        <w:rPr>
          <w:b/>
        </w:rPr>
        <w:t>E. 6</w:t>
      </w:r>
    </w:p>
    <w:p>
      <w:r>
        <w:t>avril 2006 ).</w:t>
      </w:r>
    </w:p>
    <w:p>
      <w:r>
        <w:rPr>
          <w:b/>
        </w:rPr>
        <w:t>E. 7</w:t>
      </w:r>
    </w:p>
    <w:p>
      <w:r>
        <w:t>En l’espèce, o n ne peut donc pas considérer la faute de circulation de la recourante comme une faute bénigne, ni, surtout, compte tenu de l'accident subséquent qu'elle a provoqué, nier qu'elle ait concrètement et gravement mis en danger la sécurité routière, même si elle n'a heureusement engendré que des dommages matériels. Cette embardée constituait une source importante de danger pour les autres usagers et aurait pu avoir des conséquences plus graves. Cependant, comme le Tribunal administratif l'a jugé à de nombreuses reprises dans d'autres affaires concernant des pertes de maîtrise sur l'autoroute (arrêts CR.2005.0093 du 13 octobre 2006; CR.2005.0212 du 23 juin 2006, CR.2004.0317 du 24 novembre 2005 ; CR.2005.0066 du 20 octobre 2005), on ne considérera pas une telle faute comme grave, mais comme moyennement grave.</w:t>
      </w:r>
    </w:p>
    <w:p>
      <w:r>
        <w:rPr>
          <w:b/>
        </w:rPr>
        <w:t>E. 8</w:t>
      </w:r>
    </w:p>
    <w:p>
      <w:r>
        <w:t>Au vu ce de qui précède, l'infraction apparaît comme un cas de moyenne gravité qui doit entraîner, conformément à l'art. 16b al. 2 let. a LCR, un retrait du permis d'une durée d'un mois au moins.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Compte tenu des excellents antécédents de la recourante, qui conduit depuis 1983 sans avoir fait l'objet d'une mesure administrative, il convient dès lors de s'en tenir au minimum légal d'un mois. La décision attaquée s’en tient à la durée minimale du retrait, fixée par la loi. Elle ne peut par conséquent qu'être confirmée, sans égard aux besoins professionnels invoqués par la recourante (ATF 105 Ib 255) .</w:t>
      </w:r>
    </w:p>
    <w:p>
      <w:r>
        <w:rPr>
          <w:b/>
        </w:rPr>
        <w:t>E. 9</w:t>
      </w:r>
    </w:p>
    <w:p>
      <w:r>
        <w:t>Compte tenu des considérants qui précèdent, le recours, mal fondé, sera rejeté. Vu l'issue du litige, un émolument de justice sera mis à la charge de la recourante déboutée.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