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CR.2006.0154 vom 15. Dezember 2006</w:t>
      </w:r>
    </w:p>
    <w:p>
      <w:r>
        <w:t>VD Tribunal cantonal, 2006-12-15, FR</w:t>
      </w:r>
    </w:p>
    <w:p>
      <w:r>
        <w:rPr>
          <w:b/>
        </w:rPr>
        <w:t xml:space="preserve">Quelle: </w:t>
      </w:r>
      <w:r>
        <w:t>https://mcp.opencaselaw.ch/entscheid/vd_omni_CR.2006.0154</w:t>
      </w:r>
    </w:p>
    <w:p>
      <w:r>
        <w:t>FR: VD_OMNI CR.2006.0154 du 15 décembre 2006</w:t>
      </w:r>
    </w:p>
    <w:p>
      <w:r>
        <w:t>IT: VD_OMNI CR.2006.0154 del 15 dicembre 2006</w:t>
      </w:r>
    </w:p>
    <w:p>
      <w:pPr>
        <w:pStyle w:val="Heading2"/>
      </w:pPr>
      <w:r>
        <w:t>Regeste</w:t>
      </w:r>
    </w:p>
    <w:p>
      <w:r>
        <w:t>X. /Service des automobiles et de la navigation | Changement d'assureur RC non annoncé par le détenteur des véhicules. Retrait des permis de circulation et des plaques par le SAN à réception de l'avis de cessation de couverture de l'ancien assureur. Décisions justifiées; émoluments confirmés dans leur principe et leur quotité.</w:t>
      </w:r>
    </w:p>
    <w:p>
      <w:pPr>
        <w:pStyle w:val="Heading2"/>
      </w:pPr>
      <w:r>
        <w:t>Erwägungen</w:t>
      </w:r>
    </w:p>
    <w:p>
      <w:r>
        <w:rPr>
          <w:b/>
        </w:rPr>
        <w:t>E. 1</w:t>
      </w:r>
    </w:p>
    <w:p>
      <w:r>
        <w:t>a) Le permis de circulation a pour objet de constater que le véhicule présente toutes les garanties de sécurité et que l’assurance responsabilité civile a été conclue (RVJ 1976 p. 453; cf. art. 71 ss OAC, spéc. l’art. 71 al. 1 lettres a et b OAC). Le permis de circulation doit être retiré lorsque les conditions fixées par la loi sur la circulation routière ou par les prescriptions d’exécution régissant la délivrance du permis ne sont pas remplies (art. 106 al. 1 lettre a OAC). Les titulaires du permis de circulation sont tenus d’annoncer dans les 14 jours à l’autorité toute circonstance qui nécessite une modification ou un remplacement du permis (art. 74 al. 5 OAC), soit en particulier l’échéance de la couverture d’assurance responsabilité civile, la présentation d’une attestation d’assurance étant une condition de délivrance dudit permis (cf. art. 74 al. 1 OAC). Avant de retirer le permis de circulation et les plaques, l’autorité compétente doit donner au détenteur la possibilité de s’exprimer verbalement ou par écrit (art. 108 al. 1 OAC). La décision de retrait sera notifiée par écrit avec indication des motifs et des voies de recours (art. 108 al. 2 OAC). Le permis de circulation peut être retiré immédiatement, à titre préventif, pour des raisons de sécurité routière ou pour absence d’assurance (art. 108 al. 3 OAC). L'autorité, dès réception de l'avis de cessation d’assurance (art. 7 al. 1 OAV), procède au retrait immédiat du permis de circulation en chargeant la police de saisir le permis de circulation et les plaques (art. 7 al. 2 OAV), avec cette précision que le retrait du permis devient caduc si le détenteur du véhicule remet à l'autorité une nouvelle attestation (art. 7 al. 3 OAV). Le Tribunal administratif a jugé que l’art. 7 al. 2 OAV doit l’emporter sur l’art. 108 al. 1 OAC (cf. CR.2005.0038 du 29 décembre 2005). Le retrait du permis de circulation entraîne toujours la saisie des plaques (cf. art. 106 al. 3 OAC). b) Aux termes de l’art. 25  lettre b du règlement du 7 juillet 2004 sur les émoluments perçus par le Service des automobiles et de la navigation (ci-après : RE-SAN), une mesure de retrait du permis ou d’interdiction de conduire entraîne la perception d’un émolument de 200 francs. L’ordre à la police de séquestrer le permis de conduire, le permis de circulation et de navigation ou les plaques, est assujetti à un émolument de 200 fr. (art. 28 lettre a RE-SAN). L’inscription du changement d’assurance dans le permis de circulation est soumis à un émolument de 25 fr. (art. 5 lettre d RE-SAN).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En l’espèce, le Service des automobiles a dû intervenir immédiatement pour rendre des décisions de retrait des permis et des plaques en raison des avis de cessation d’assurance (art. 7 al. 2 OAV), faute de contre-indication au dossier de l’autorité intimée, le recourant ayant omis d’annoncer le changement d’assureur (art. 74 al. 1 et 5 OAC). Les décisions comportaient l’indication des voies de recours, conformément aux exigences légales (art. 108 al. 2 OAC). La procédure de l’autorité intimée a été régulière (intervention justifiée, indication des voies de recours dans la décision, émoluments réglementaires). La perception des émoluments de décision est, partant, justifiée. Ces émoluments ne doivent pas être confondus avec ceux, qui auraient été réclamés en plus, si la gendarmerie avait dû être saisie (art. 28 lettre a RE-SAN), ce qui n’a pas été le cas ici, le recourant ayant réagi sans délai à réception des décisions de retrait. Ils ne doivent enfin pas être confondus avec l’émolument de chancellerie de 25 fr. (art. 5 lettre d RE-SAN) lié à la modification des permis de circulation. c) Pour le surplus, dans un arrêt FI.1998.0068 du 13 octobre 1998, le Tribunal administratif, saisi d'un recours dirigé contre la taxe prévue à l'art. 4 sur les émoluments perçus par le Service des automobiles et de la navigation (dans sa teneur en vigueur jusqu’au 31 décembre 2004, alors abrégé RESA, portant également sur un émolument d’un montant de 200 fr.), a jugé, au terme d'une analyse détaillée, que cet émolument respectait, conformément au droit fédéral, les deux principes dérivés du principe de la proportionnalité : celui de la couverture des frais, d'une part, et celui de l'équivalence, d'autre part (cf. Moor, Droit administratif, vol. III, no 7.2.4.3; arrêt confirmé dans FI.2004.0121 du 1 er mars 2005, cf. aussi ATF 106 Ia 241, consid. 3b). Le tribunal a jugé qu’il n’y avait pas lieu de remettre en cause cette jurisprudence (cf. CR.2005.0038 du 29 décembre 2005). Par ailleurs, les émoluments du Service des automobiles, qui n’ont pas la fonction d’une amende, n’ont pas à être réduits (cf. CR.2002.0259 du 13 septembre 2004). Il résulte de ce qui précède que c’est à juste titre que le Service des automobiles a arrêté à 200 fr. le montant dû à titre d’émolument, en application du tarif rappelé ci-dessus, en relation avec les mesures en cause.</w:t>
      </w:r>
    </w:p>
    <w:p>
      <w:r>
        <w:rPr>
          <w:b/>
        </w:rPr>
        <w:t>E. 2</w:t>
      </w:r>
    </w:p>
    <w:p>
      <w:r>
        <w:t>Le recours est rejeté, les décisions du Service des automobiles devant être confirmées. Vu l'issue du litige, le recourant supportera un émolument de justice réduit à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