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CR.2006.0138 vom 17. Juli 2007</w:t>
      </w:r>
    </w:p>
    <w:p>
      <w:r>
        <w:t>VD Tribunal cantonal, 2007-07-17, FR</w:t>
      </w:r>
    </w:p>
    <w:p>
      <w:r>
        <w:rPr>
          <w:b/>
        </w:rPr>
        <w:t xml:space="preserve">Quelle: </w:t>
      </w:r>
      <w:r>
        <w:t>https://mcp.opencaselaw.ch/entscheid/vd_omni_CR.2006.0138</w:t>
      </w:r>
    </w:p>
    <w:p>
      <w:r>
        <w:t>FR: VD_OMNI CR.2006.0138 du 17 juillet 2007</w:t>
      </w:r>
    </w:p>
    <w:p>
      <w:r>
        <w:t>IT: VD_OMNI CR.2006.0138 del 17 luglio 2007</w:t>
      </w:r>
    </w:p>
    <w:p>
      <w:pPr>
        <w:pStyle w:val="Heading2"/>
      </w:pPr>
      <w:r>
        <w:t>Regeste</w:t>
      </w:r>
    </w:p>
    <w:p>
      <w:r>
        <w:t>X.________ /Service des automobiles et de la navigation | Le fait d'emprunter la bande d'arrêt d'urgence et de remonter les files de véhicules pour sortir de l'autoroute constitue un dépassement par la droite. L'interdiction de dépasser par la droite constitue une règle élémentaire de la circulation qui doit être impérativement respectée, de sorte que la faute n'est pas bénigne, mais moyennement grave. Retrait d'un mois confirmé.</w:t>
      </w:r>
    </w:p>
    <w:p>
      <w:pPr>
        <w:pStyle w:val="Heading2"/>
      </w:pPr>
      <w:r>
        <w:t>Erwägungen</w:t>
      </w:r>
    </w:p>
    <w:p>
      <w:r>
        <w:rPr>
          <w:b/>
        </w:rPr>
        <w:t>E. 1</w:t>
      </w:r>
    </w:p>
    <w:p>
      <w:r>
        <w:t>de la loi du 18 décembre 1989 sur la juridiction et la procédure administratives (ci-après: LJPA), le recours est intervenu en temps utile. Il est au surplus recevable en la forme.</w:t>
      </w:r>
    </w:p>
    <w:p>
      <w:r>
        <w:rPr>
          <w:b/>
        </w:rPr>
        <w:t>E. 2</w:t>
      </w:r>
    </w:p>
    <w:p>
      <w:r>
        <w:t>Les dispositions régissant le retrait d'admonestation du permis de conduire ont été révisées par la loi fédérale du 14 décembre 2001, entrée en vigueur le 1 er janvier 2005. Les nouvelles règles s'appliquent aux personnes qui ont commis une infraction légère, moyenne ou grave depuis cette date (al. 1 des dispositions transitoires de la modification du 14 décembre 2001). Elles sont applicables en l'espèce, dès lors que les faits litigieux se sont produits le 15 octobre 2005.</w:t>
      </w:r>
    </w:p>
    <w:p>
      <w:r>
        <w:rPr>
          <w:b/>
        </w:rPr>
        <w:t>E. 3</w:t>
      </w:r>
    </w:p>
    <w:p>
      <w:r>
        <w:t>a) L'art. 35 al. 1 LCR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115 IV 244 consid. 2; 114 IV 55 consid. 1). Il n'en va différemment que lorsqu'il s'agit, sur route (art.</w:t>
      </w:r>
    </w:p>
    <w:p>
      <w:r>
        <w:rPr>
          <w:b/>
        </w:rPr>
        <w:t>E. 8</w:t>
      </w:r>
    </w:p>
    <w:p>
      <w:r>
        <w:t>al. 3 OCR) ou sur autoroute (art. 36 al. 5 let. a OCR), de distinguer la situation dans laquelle un usager en dépasse d'autres par la droite, de celle dans laquelle il se borne à devancer un ou plusieurs autres usagers circulant en files parallèlement à sa propre voie de circulation (devancement).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126 IV 192 consid. 2a; 115 IV 244 consid. 2 et 3). Il n'y a toutefois lieu de procéder à cette distinction qu'en présence de voies de circulation distinctes permettant la circulation en files parallèles. Cette distinction ne trouve ainsi pas application lorsque que la voie empruntée pour devancer d'autres véhicules est la bande d'arrêt d'urgence, qui ne constitue pas une voie de circulation, mais uniquement une partie de la voie de circulation qui ne peut être utilisée qu'en cas de nécessité absolue (art. 36 al. 3 LCR) (ATF 114 IV 55 consid. 2c). Le fait d'emprunter la bande d'arrêt d'urgence et de remonter les files des véhicules pour sortir de l'autoroute constitue donc un dépassement par la droite (Tribunal fédéral, arrêt 6A.53/2006 du 11 janvier 2007, consid. 4). b) En l'espèce, le recourant ne conteste pas avoir emprunté la bande d’arrêt d’urgence sur quelques centaines de mètres et remonté les files de véhicules circulant à très faible allure pour sortir plus rapidement de l’autoroute à Vevey. Par son comportement, il a donc enfreint les règles de circulation visées aux art. 35 al. 1 LCR et 36 al. 3 OCR précités. 4. a) 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d’autrui ou en prend le risque. L'art. 16b al. 2 lit. a LCR prévoit qu'après une infraction moyennement grave, le permis d’élève conducteur ou le permis de conduire est retiré pour un mois au minimum. b) Dans des arrêts récents (en particulier, arrêts 6A.53/2006 du 11 janvier 2007, consid. 5; 6A.54/2006 du 13 février 2007 consid. 5; 6A.95/2006 du 29 mars 2007 consid. 4), le Tribunal fédéral a jugé que la faute commise par un usager qui a emprunté dans les mêmes circonstances que le recourant la bande d'arrêt d'urgence sur quelques centaines de mètres pour remonter par la droite jusqu'à la prochaine sortie de l'autoroute la colonne des autres usagers très ralentie en raison de travaux effectués dans le tunnel de Glion, ne pouvait pas être qualifié de légère, même s'il ne roulait qu'à très faible vitesse. Le Tribunal fédéral a, en particulier, relevé que l'interdiction de dépasser par la droite constituait une règle élémentaire de la circulation qui, parce qu'elle vise la sécurité de la circulation et son bon déroulement, doit être impérativement respectée. Il a également rappelé le caractère réel du risque créé pour les autres usagers de la route; la majorité d'entre eux ne s'attendent en effet pas à être dépassés par la droite sur la bande d'arrêt d'urgence, ce qui peut, notamment, provoquer des réactions inappropriées de leur part. On ne peut, en outre, exclure qu'un véhicule en détresse se rabatte sur la bande d'arrêt d'urgence ou que les automobilistes roulant normalement soient contraints de le faire en raison de l'intervention de la police ou des services sanitaires. Le Tribunal fédéral a par ailleurs souligné qu'on ne pouvait méconnaître que la généralisation de ce comportement dans les nombreux ralentissements que l'on rencontre sur les autoroutes, aussi bien lors de travaux dans des tunnels qu'en cas de travaux de rénovation des revêtements et des ouvrages d'art, n'avait pas pour seule conséquence que certains automobilistes roulant normalement dans la file ralentie pouvaient être surpris par un automobiliste les dépassant par la droite, mais provoquait un engorgement de la bande d'arrêt d'urgence elle-même, rendant notamment impossible le dégagement des voies de circulation au bénéfice des véhicules prioritaires des services de police, de santé et du feu (art. 27 al. 2 LCR). c) Il n'y a en l'espèce aucune raison de s'écarter de cette jurisprudence. La faute commise par le recourant ne peut ainsi pas être qualifiée de bénigne. Ni la vitesse du recourant au moment des faits, qui est comparable à celle des usagers dans les arrêts précités, ni la distance parcourue en infraction ne font apparaître moins important le risque ainsi créé, qui peut se réaliser à tout instant. Par ailleurs, le fait que les autorités avaient elles-mêmes avancé la sortie pour permettre aux automobilistes de quitter l'autoroute à Vevey plus tôt ne saurait atténuer la faute du recourant. Il n'avait pas à emprunter la bande d'arrêt d'urgence avant que le marquage au sol le permette (art. 80 ss OSR). Au regard de ces éléments, l'infraction commise doit donc être qualifiée de moyennement grave au sens de l'art. 16b al. 1 let. a LCR et entraîner un retrait de permis d'un mois au minimum (art. 16b al. 2 let. a LCR). 5. La décision attaquée s'en tenant à cette durée minimale, elle ne peut qu'être confirmée. Le recours sera donc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