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CR.2006.0135 vom 31. Januar 2007</w:t>
      </w:r>
    </w:p>
    <w:p>
      <w:r>
        <w:t>VD Tribunal cantonal, 2007-01-31, FR</w:t>
      </w:r>
    </w:p>
    <w:p>
      <w:r>
        <w:rPr>
          <w:b/>
        </w:rPr>
        <w:t xml:space="preserve">Quelle: </w:t>
      </w:r>
      <w:r>
        <w:t>https://mcp.opencaselaw.ch/entscheid/vd_omni_CR.2006.0135</w:t>
      </w:r>
    </w:p>
    <w:p>
      <w:r>
        <w:t>FR: VD_OMNI CR.2006.0135 du 31 janvier 2007</w:t>
      </w:r>
    </w:p>
    <w:p>
      <w:r>
        <w:t>IT: VD_OMNI CR.2006.0135 del 31 gennaio 2007</w:t>
      </w:r>
    </w:p>
    <w:p>
      <w:pPr>
        <w:pStyle w:val="Heading2"/>
      </w:pPr>
      <w:r>
        <w:t>Regeste</w:t>
      </w:r>
    </w:p>
    <w:p>
      <w:r>
        <w:t>X. c/Service des automobiles et de la navigation | Le retrait de permis d'admonestation, soumis au volet pénal de l'art. 6 ch. 1 CEDH, donne en principe droit à la tenue d'une audience. Toutefois, lorsque le Tribunal administratif ne peut plus que constater qu'il est lié par les faits retenus dans le prononcé pénal déféré jusque devant le Tribunal fédéral et que le retrait de permis ordonné correspond au minimum légal, le recourant qui a été entendu en audience par le juge pénal de première instance ne peut plus prétendre à la convocation d'une audience devant le Tribunal administratif.</w:t>
      </w:r>
    </w:p>
    <w:p>
      <w:pPr>
        <w:pStyle w:val="Heading2"/>
      </w:pPr>
      <w:r>
        <w:t>Erwägungen</w:t>
      </w:r>
    </w:p>
    <w:p>
      <w:r>
        <w:rPr>
          <w:b/>
        </w:rPr>
        <w:t>E. 1</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consid. 3). En l'espèce, les conditions permettant à l'autorité administrative de s'écarter du jugement pénal ne sont pas réunies. En effet, le dossier ne contient pas d'éléments de faits inconnus du juge pénal ni de preuves nouvelles que le recourant n'aurait pas déjà invoqués dans la procédure pénale que le recourant a portée jusque devant le Tribunal cantonal, puis le Tribunal fédéral. C'est donc en vain que dans sa lettre du 29 septembre 2006 réclamant une audience, le recourant invoque la prétendue mesure d'un GPS installé par lui-même pour contester la force probante supérieure d'un radar installé par des spécialistes de la gendarmerie. Le tribunal de céans tient dès lors pour établi que le recourant a commis un excès de vitesse de 34 km/h sur l'autoroute.</w:t>
      </w:r>
    </w:p>
    <w:p>
      <w:r>
        <w:rPr>
          <w:b/>
        </w:rPr>
        <w:t>E. 2</w:t>
      </w:r>
    </w:p>
    <w:p>
      <w:r>
        <w:t>C'est le lieu d'observer que même si dans un premier temps, le tribunal avait accepté de convoquer le recourant à l'une de ses audiences mensuelles en matière de circulation routière, le recourant ne peut pas invoquer de droit à la tenue d'une audience publique. Sans doute le retrait de permis d'admonestation est-il une décision sur le bien-fondé d'une accusation en matière pénale au sens de l'art. 6 ch. 1 CEDH, ce qui entraîne que l'intéressé a droit à des débats oraux et publics (ATF 121 II 22; 121 II 219). Toutefois, dès lors que le recourant a porté sa contestation des faits sur le plan pénal jusque devant le Tribunal fédéral, ceci en vain, le Tribunal administratif ne peut plus que constater qu'il est lié par les faits retenus dans le prononcé pénal, comme il l'a fait ici au considérant précédent. En outre, quant à la durée du retrait de permis, la cause ne pose plus en l'espèce que la question de l'application du minimum légal, comme le montrent les considérants qui suivent. On se trouve donc dans une situation où le litige ne pose plus que des questions de droit. Dans ces conditions, le recourant, qui a été entendu en audience par le juge pénal, ne peut plus prétendre à la convocation d'une audience devant le Tribunal administratif (sur les restrictions possibles au principe de la publicité des débats selon l'art. 6 CEDH : ATF 121 I 30).</w:t>
      </w:r>
    </w:p>
    <w:p>
      <w:r>
        <w:rPr>
          <w:b/>
        </w:rPr>
        <w:t>E. 3</w:t>
      </w:r>
    </w:p>
    <w:p>
      <w:r>
        <w:t>L'infraction a été commise en 2003, de sorte que c'est encore l'ancien droit, en vigueur jusqu'au 31 décembre 2004 qui s'applique en l'espèce.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let. a LCR, le permis de conduire doit être retiré si le conducteur a compromis gravement la sécurité de la route.</w:t>
      </w:r>
    </w:p>
    <w:p>
      <w:r>
        <w:rPr>
          <w:b/>
        </w:rPr>
        <w:t>E. 4</w:t>
      </w:r>
    </w:p>
    <w:p>
      <w:r>
        <w:t>Le Tribunal fédéral a récapitulé les règles fixées par la jurisprudence dans le domaine des excès de vitesse dans l’ATF 124 II 475 : ces règles distinguent la circulation sur les autoroutes, les autres routes (à savoir les routes hors des localités et les semi-autoroutes dont les chaussées dans les deux directions ne sont pas séparées) et la circulation à l'intérieur des localités. S'agissant de la circulation sur les autoroutes, la jurisprudence a posé les principes suivants: dès que l'excès de vitesse atteint 15 km/h, un avertissement doit être prononcé, car il s'agit d'un cas de peu de gravité; si le dépassement de vitesse est compris entre 31 et 34 km/h, le retrait facultatif du permis doit être ordonné (cas de moyenne gravité), tandis que le retrait du permis est obligatoire si le dépassement de vitesse atteint 35 km/h ou plus (cas grave) (ATF 126 II 196).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d'entraîner une application analogique de l'art. 66bis CP (actuellement 54 CP) ou une erreur compréhensible sur la vitesse autorisée (ATF 124 II 475; AFT 6A.11/2003 du 2 avril 2003). En l'espèce, le recourant a commis un excès de vitesse de 34 km/h sur l'autoroute , ce qui constitue une violation de l'art. 27 al. 1 LCR . Un tel dépassement de vitesse constitue, selon la jurisprudence, un cas moyennement grave entraînant un retrait du permis de conduire au sens de l'art. 16 al. 2 LCR, sauf circonstances exceptionnelles décrites ci-dessus, mais non réalisées en l'espèce.</w:t>
      </w:r>
    </w:p>
    <w:p>
      <w:r>
        <w:rPr>
          <w:b/>
        </w:rPr>
        <w:t>E. 5</w:t>
      </w:r>
    </w:p>
    <w:p>
      <w:r>
        <w:t>S'en tenant à la durée minimale d'un mois prévue par l'art. 17 al. 1 lit. a LCR,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