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CR.2006.0096 vom 24. Oktober 2006</w:t>
      </w:r>
    </w:p>
    <w:p>
      <w:r>
        <w:t>VD Tribunal cantonal, 2006-10-24, FR</w:t>
      </w:r>
    </w:p>
    <w:p>
      <w:r>
        <w:rPr>
          <w:b/>
        </w:rPr>
        <w:t xml:space="preserve">Quelle: </w:t>
      </w:r>
      <w:r>
        <w:t>https://mcp.opencaselaw.ch/entscheid/vd_omni_CR.2006.0096</w:t>
      </w:r>
    </w:p>
    <w:p>
      <w:r>
        <w:t>FR: VD_OMNI CR.2006.0096 du 24 octobre 2006</w:t>
      </w:r>
    </w:p>
    <w:p>
      <w:r>
        <w:t>IT: VD_OMNI CR.2006.0096 del 24 ottobre 2006</w:t>
      </w:r>
    </w:p>
    <w:p>
      <w:pPr>
        <w:pStyle w:val="Heading2"/>
      </w:pPr>
      <w:r>
        <w:t>Regeste</w:t>
      </w:r>
    </w:p>
    <w:p>
      <w:r>
        <w:t>X. /Service des automobiles et de la navigation | Occupé à ramasser un dossier, le recourant dévie de sa trajectoire et circule sur la bande d'arrêt d'urgence sur plusieurs dizaines de mètres. Ce comportement constitue une faute de gravité moyenne, qui justifie un retrait de permis d'une durée minimale d'un mois. Recours rejeté.</w:t>
      </w:r>
    </w:p>
    <w:p>
      <w:pPr>
        <w:pStyle w:val="Heading2"/>
      </w:pPr>
      <w:r>
        <w:t>Erwägungen</w:t>
      </w:r>
    </w:p>
    <w:p>
      <w:r>
        <w:rPr>
          <w:b/>
        </w:rPr>
        <w:t>E. 1</w:t>
      </w:r>
    </w:p>
    <w:p>
      <w:r>
        <w:t>L'infraction litigieuse a eu lieu le 6 décembre 2005, de sorte que les nouvelles dispositions légales, en vigueur depuis le 1 er janvier 2005, sont applicables en l'espèce.</w:t>
      </w:r>
    </w:p>
    <w:p>
      <w:r>
        <w:rPr>
          <w:b/>
        </w:rPr>
        <w:t>E. 2</w:t>
      </w:r>
    </w:p>
    <w:p>
      <w:r>
        <w:t>L'art. 8 al. 1 de l'ordonnance sur les règles de la circulation routière du 13 novembre 1962 (OCR) prévoit que sur les routes marquées de plusieurs voies pour une même direction - comme les autoroutes - les conducteurs doivent suivre la voie extérieure de droite. A teneur de l'art. 36 al. 3 OCR, le conducteur n'utilisera la bande d'arrêt d'urgence et les places prévues pour les véhicules en panne et signalées comme telles qu'en cas de nécessité absolue. Aux termes de l'art. 3 al. 1 OCR, le conducteur vouera son attention à la route et à la circulation. Il évitera toute occupation qui rendrait plus difficile la conduite du véhicule.</w:t>
      </w:r>
    </w:p>
    <w:p>
      <w:r>
        <w:rPr>
          <w:b/>
        </w:rPr>
        <w:t>E. 3</w:t>
      </w:r>
    </w:p>
    <w:p>
      <w:r>
        <w:t>OCR), par inattention (art. 3 al. 1 OCR), et rien n'indique que le prononcé rendu contiendrait des inexactitudes manifestes. Le tribunal de céans ne voit ainsi pas de motifs de s’écarter du jugement pénal. b) Dans un premier temps, le recourant n’a pas contesté les faits retenus dans le rapport de police le jour de l’incident, à savoir qu’il avait roulé sur la bande d’arrêt d’urgence suite à une activité accessoire au volant (lecture d’un dossier). Par la suite, il ne s’est pas non plus opposé au prononcé préfectoral, le juge pénal ayant retenu que l’intéressé, occupé à la lecture d’un dossier, avait circulé sur la bande d’arrêt d’urgence. C'est seulement dans ses observations du 18 février 2006 au Service des automobiles que le recourant précise qu’il ne consultait pas son dossier (qu'il connaissait bien), mais qu’il s'était borné à le ramasser. E n cas de déclarations contradictoires de l'intéressé au sujet des circonstances d'un accident de la circulation routière, le tribunal applique la règle dite de la "première déclaration" ou de la "déclaration de la première heure" selon laquelle il faut s'en remettre aux déclarations de première heure plutôt qu'à celles faites ultérieurement après mûre réflexion (Bulletin AC 94/1, fiche 3/6). Le Tribunal fédéral a fait de cette manière de voir une "maxime de preuve" (Beweismaxime) selon laquelle les "déclarations de la première heure" spontanées sont en principe plus impartiales et plus fiables que les déclarations ultérieures qui sont consciemment ou inconsciemment influencées après coup par des réflexions relevant du droit des assurances ou d'autres considérations: si les déclarations de l'intéressé se modifient avec l'écoulement du temps, celles qu'il a faites immédiatement après l'accident ont plus de poids que celles qu'il formule après avoir reçu une décision de refus de prestations de la part de l'assurance (ATF 115 V 133 consid. 8, 121 V 45 consid. 2 a ; arrêt du Tribunal administratif CR.2005.261, du 26 octobre 2005). En l’espèce, le recourant semble avoir admis les faits à deux reprises avant de contester qu'il était occupé à la lecture d'un dossier. Sur ce point, le rapport de gendarmerie ne comporte pas de déclarations du conducteur interpellé et le préfet a statué sur la base de ce rapport, sans citation. Aussi peut-on laisser ce point de l'instruction au bénéfice du recourant. Il n'empêche qu'il a laissé dévier son véhicule hors de sa voie de circulation jusqu'à rouler sur la bande d'arrêt d'urgence sur plusieurs dizaines de mètres.</w:t>
      </w:r>
    </w:p>
    <w:p>
      <w:r>
        <w:rPr>
          <w:b/>
        </w:rPr>
        <w:t>E. 4</w:t>
      </w:r>
    </w:p>
    <w:p>
      <w:r>
        <w:t>Selon l'art. 16a al. 1 lit. a de la loi fédérale sur la circulation routière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 autrui ou en prend le risque. L'art. 16b al. 2 lit. a LCR prévoit qu'après une infraction moyennement grave, le permis d’élève conducteur ou le permis de conduire est retiré pour un mois au minimum. En l’occurrence, en circulant sur la bande d’arrêt d’urgence sur plusieurs dizaines de mètres en raison d’une occupation accessoire, le recourant a violé les dispositions citées au considérant 2. Il faut donc retenir à sa charge la commission d'une infraction aux règles de la circulation au sens de l'art. 16 LCR. Le prononcé d'une mesure administrative présuppose toutefois que le conducteur ait en outre provoqué une mise en danger. Dans le cas présent, le recourant a commis une inattention qui aurait pu avoir des conséquences importantes, par exemple un choc avec un autre véhicule. Heureusement, rien de tel n'est survenu et aucun usager n’a été gêné par cette manœuvre. Il faut toutefois rappeler qu’il suffit d’une mise en danger abstraite pour qu’une mesure soit prononcée. Ainsi, on ne saurait banaliser l’inattention du recourant qui aurait pu entraîner de graves conséquences. La culpabilité du recourant est ainsi loin d’être légère et sa faute doit être qualifiée comme étant de moyenne gravité. L’avertissement est donc exclu, et le comportement du recourant appelle une mesure de retrait du permis de conduire fondée sur l’art. 16b LCR. En l’espèce, en omettant d’avoir toute l’attention nécessaire au trafic, le recourant a violé les règles élémentaires de la circulation routière et, par une mise en danger abstraite, commis une faute de gravité moyenne entraînant le retrait du permis de conduire pour une durée d’un mois en application de l’art.16b al. 2 let. a LCR. S’agissant d’un minimum légal, ni l’utilité professionnelle du permis de conduire, ni de bons antécédents ne sauraient être pris en compte en vue d’une réduction de la durée du retrait.</w:t>
      </w:r>
    </w:p>
    <w:p>
      <w:r>
        <w:rPr>
          <w:b/>
        </w:rPr>
        <w:t>E. 5</w:t>
      </w:r>
    </w:p>
    <w:p>
      <w:r>
        <w:t>A la lumière de ce qui précède, la décision attaquée doit ainsi 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