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CR.2006.0095 vom 26. Januar 2007</w:t>
      </w:r>
    </w:p>
    <w:p>
      <w:r>
        <w:t>VD Tribunal cantonal, 2007-01-26, FR</w:t>
      </w:r>
    </w:p>
    <w:p>
      <w:r>
        <w:rPr>
          <w:b/>
        </w:rPr>
        <w:t xml:space="preserve">Quelle: </w:t>
      </w:r>
      <w:r>
        <w:t>https://mcp.opencaselaw.ch/entscheid/vd_omni_CR.2006.0095</w:t>
      </w:r>
    </w:p>
    <w:p>
      <w:r>
        <w:t>FR: VD_OMNI CR.2006.0095 du 26 janvier 2007</w:t>
      </w:r>
    </w:p>
    <w:p>
      <w:r>
        <w:t>IT: VD_OMNI CR.2006.0095 del 26 gennaio 2007</w:t>
      </w:r>
    </w:p>
    <w:p>
      <w:pPr>
        <w:pStyle w:val="Heading2"/>
      </w:pPr>
      <w:r>
        <w:t>Regeste</w:t>
      </w:r>
    </w:p>
    <w:p>
      <w:r>
        <w:t>X./Service des automobiles et de la navigation | Celui qui ne présente pas son véhicule à l'inspection technique après deux rendez-vous reportés, un échec à l'expertise et une sommation, agit sans raison suffisante au sens de l'art. 106 al. 1 lit. b OAC, de sorte que son permis de circulation doit être retiré. Le SAN a dû ouvrir une procédure de retrait de plaques, ce qui justifie la perception d'un émolument de 200 francs conformément au règlement applicable.</w:t>
      </w:r>
    </w:p>
    <w:p>
      <w:pPr>
        <w:pStyle w:val="Heading2"/>
      </w:pPr>
      <w:r>
        <w:t>Erwägungen</w:t>
      </w:r>
    </w:p>
    <w:p>
      <w:r>
        <w:rPr>
          <w:b/>
        </w:rPr>
        <w:t>E. 1</w:t>
      </w:r>
    </w:p>
    <w:p>
      <w:r>
        <w:t>La question à juger est dès lors celle du bien-fondé de la perception d'un émolument à charge du recourant pour la décision de retrait du permis de circulation et des plaques d'immatriculation ensuite de la non-présentation du véhicule à l’expertise technique obligatoire le 20 février 2006, après une précédente expertise passée sans succès.</w:t>
      </w:r>
    </w:p>
    <w:p>
      <w:r>
        <w:rPr>
          <w:b/>
        </w:rPr>
        <w:t>E. 2</w:t>
      </w:r>
    </w:p>
    <w:p>
      <w:r>
        <w:t>Le recourant fait valoir qu'il avait confié son véhicule à son garagiste, à charge pour ce dernier le réparer, de le présenter à l'expertise et, après l'échec de la première expertise, de procéder aux réparations nécessaires. Il explique la non-présentation du véhicule à l'expertise du 20 février par le fait que son garagiste ne trouvait pas la pièce nécessaire à la réparation exigée par l'autorité intimée et qu'il pensait que son garagiste avait dès lors prévenu l'autorité intimée. Ces explications ne suffisent pas à justifier la non-présentation du véhicule à l'expertise. En effet, c'est au recourant qu'il incombait de prévenir l'autorité qu'il rencontrait des difficultés à trouver une pièce et de demander éventuellement un nouveau délai, dès lors que c'est à lui qu'a été adressée la sommation avec le préavis de retrait de permis de circulation en date du 8 février 2006. Il s'agit d'une négligence de sa part, dont il doit supporter les conséquences.</w:t>
      </w:r>
    </w:p>
    <w:p>
      <w:r>
        <w:rPr>
          <w:b/>
        </w:rPr>
        <w:t>E. 3</w:t>
      </w:r>
    </w:p>
    <w:p>
      <w:r>
        <w:t>a) Le permis de circulation a pour objet de constater que le véhicule présente toutes les garanties de sécurité et que l’assurance responsabilité civile a été conclue (RVJ 1976 p. 453). Le permis de circulation doit être retiré lorsque, sans raison suffisante, le détenteur ne donne pas suite à l’ordre de présenter son véhicule à l’expertise (art. 106 al. 1 lettre b OAC). Avant de retirer le permis de circulation et les plaques, l’autorité compétente doit donner au détenteur la possibilité de s’exprimer verbalement ou par écrit (art. 108 al. 1 OAC). En l’espèce, après un premier rendez-vous reporté, un échec à l'expertise le 19 janvier 2006 et un rendez-vous excusé deux jours avant la nouvelle expertise fixée au 10 février 2006, le recourant a été sommé de présenter son véhicule par lettre du 8 février 2006, avec indication qu’une procédure de retrait du permis de circulation et des plaques serait engagée en cas de nouveau défaut. Dans ces conditions, il faut admettre que c’est sans raison suffisante que le recourant n'a, à nouveau le 20 février 2006, pas présenté le véhicule dont il était le détenteur. b) Aux termes de l’art. 24 du Règlement sur les émoluments perçus par le Service des automobiles et de la navigation du 7 juillet 2004, la décision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adminisitratif III, 1992, no 7.2.4.1, p. 364, et les références citées). En l’espèce, le Service des automobiles a dû intervenir en ouvrant une procédure de retrait du permis de circulation, ce qui justifie la perception d’un émolument. c) Pour le surplus, dans un arrêt FI.1998.0068 du 13 octobre 1998, cité dans l'arrêt CR.2005.0006 du 2 février 2006, le Tribunal administratif, saisi d'un recours dirigé contre la taxe prévue à l'ancien art.</w:t>
      </w:r>
    </w:p>
    <w:p>
      <w:r>
        <w:rPr>
          <w:b/>
        </w:rPr>
        <w:t>E. 4</w:t>
      </w:r>
    </w:p>
    <w:p>
      <w:r>
        <w:t>Il résulte de ce qui précède que c’est à juste titre que le Service des automobiles a arrêté à 200 francs le montant dû au titre d’émolument, en application du tarif rappelé ci-dessus, en relation avec la mesure en cause. Mal fondé, le recours doit par conséquent être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