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CR.2006.0091 vom 7. Februar 2007</w:t>
      </w:r>
    </w:p>
    <w:p>
      <w:r>
        <w:t>VD Tribunal cantonal, 2007-02-07, FR</w:t>
      </w:r>
    </w:p>
    <w:p>
      <w:r>
        <w:rPr>
          <w:b/>
        </w:rPr>
        <w:t xml:space="preserve">Quelle: </w:t>
      </w:r>
      <w:r>
        <w:t>https://mcp.opencaselaw.ch/entscheid/vd_omni_CR.2006.0091</w:t>
      </w:r>
    </w:p>
    <w:p>
      <w:r>
        <w:t>FR: VD_OMNI CR.2006.0091 du 7 février 2007</w:t>
      </w:r>
    </w:p>
    <w:p>
      <w:r>
        <w:t>IT: VD_OMNI CR.2006.0091 del 7 febbraio 2007</w:t>
      </w:r>
    </w:p>
    <w:p>
      <w:pPr>
        <w:pStyle w:val="Heading2"/>
      </w:pPr>
      <w:r>
        <w:t>Regeste</w:t>
      </w:r>
    </w:p>
    <w:p>
      <w:r>
        <w:t>X. /Service des automobiles et de la navigation | Ayant procédé à une instruction plus poussée que le juge pénal, le tribunal juge que le dossier ne contient pas suffisamment d'éléments pour pouvoir retenir que le recourant s'est assoupi au volant. La faute du recourant consiste en une perte de maîtrise de son véhicule, mais comme son comportement n'apparaît pas comme dénué de scrupules ou procédant d'une grave négligence, l'infraction commise peut encore être considérée comme étant de moyenne gravité, de sorte que le retrait de permis doit être ramnené au minimum légal d'un mois.</w:t>
      </w:r>
    </w:p>
    <w:p>
      <w:pPr>
        <w:pStyle w:val="Heading2"/>
      </w:pPr>
      <w:r>
        <w:t>Erwägungen</w:t>
      </w:r>
    </w:p>
    <w:p>
      <w:r>
        <w:rPr>
          <w:b/>
        </w:rPr>
        <w:t>E. 1</w:t>
      </w:r>
    </w:p>
    <w:p>
      <w:r>
        <w:t>L'infraction litigieuse a eu lieu en 2005, de sorte que les nouvelles dispositions légales, entrées en vigueur le 1 er janvier 2005, sont applicables en l'espèce.</w:t>
      </w:r>
    </w:p>
    <w:p>
      <w:r>
        <w:rPr>
          <w:b/>
        </w:rPr>
        <w:t>E. 2</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rPr>
          <w:b/>
        </w:rPr>
        <w:t>E. 3</w:t>
      </w:r>
    </w:p>
    <w:p>
      <w:r>
        <w:t>En l'espèce, le recourant conteste fermement s'être assoupi au volant et affirme que l'accident a été provoqué par un problème technique de son camion qui aurait subitement freiné.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juge d'instruction a retenu que le recourant a circulé alors qu'il en était incapable et qu'il perdu la maîtrise de son véhicule, de sorte qu'il a condamné le recourant à une amende pour violation simple et violation grave des règles de la circulation. Cette décision n'a pas été contestée par le recourant. Cependant, cette décision a été rendue à la suite d'une procédure sommaire, sans audition du recourant et se fonde exclusivement sur le rapport de police contesté par le recourant. Elle ne retient d'ailleurs pas que le recourant se serait endormi. Ayant entendu le recourant lors d'une audience, le tribunal de céans juge que le dossier ne contient pas suffisamment d'éléments pour pouvoir retenir que le recourant s'est assoupi au volant. En effet, le recourant a toujours contesté s'être endormi et le fait que, selon les policiers qui l'ont interrogé, il avait l'air fatigué et que ses yeux coulaient n'est pas déterminant et ne suffit pas à prouver l'assoupissement. Certes, il arrivait à la fin d'une longue journée de travail, mais ce n'était pas une journée différente des toutes celles vécues par le recourant au cours de sa longue expérience de chauffeur poids-lourds. De plus, le recourant n'était pas en train d'effectuer un long trajet monotone sur l'autoroute qui pousse à la somnolence, il venait au contraire de quitter la centrale de distribution et d'entrer sur l'autoroute lorsque l'accident s'est produit. Dans ces conditions, le tribunal de céans retient que l'assoupissement n'est pas établi à satisfaction de droit. Il n'en reste pas moins que le recourant a perdu la maîtrise de son camion sur l'autoroute, violant ainsi l'art. 31 LCR. Certes, le recourant allègue qu'il a senti un blocage des roues arrière du tracteur et que son camion est parti en dérapage d'un coup. A supposer que cette hypothèse soit établie, elle ne suffirait pas à exculper le recourant, qui aurait dû pouvoir maintenir sa trajectoire - qui était d'ailleurs rectiligne - malgré cet à-coup.</w:t>
      </w:r>
    </w:p>
    <w:p>
      <w:r>
        <w:rPr>
          <w:b/>
        </w:rPr>
        <w:t>E. 4</w:t>
      </w:r>
    </w:p>
    <w:p>
      <w:r>
        <w:t>La mise en danger provoquée par l'accident est importante. En effet, la camion du recourant s'est arrêté en travers de l'autoroute en l'obstruant complètement. Même à l'heure tardive où les faits se sont produits, d'autres véhicules auraient pu venir heurter cet obstacle inattendu. Pour ce qui concerne la gravité de la faute, il faut rappeler que selon la jurisprudence relative à l'art. 90 ch.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consid. 3.2).</w:t>
      </w:r>
    </w:p>
    <w:p>
      <w:r>
        <w:rPr>
          <w:b/>
        </w:rPr>
        <w:t>E. 5</w:t>
      </w:r>
    </w:p>
    <w:p>
      <w:r>
        <w:t>En l'espèce, on a déjà vu que la thèse de l'assouplissement retenue par l'autorité intimée ne peut pas être retenue. La faute du recourant consiste en une perte de maîtrise de son véhicule. Le dossier ne contient cependant pas d'éléments attestant d'un comportement dénué de scrupules ou procédant d'une grave négligence. Les antécédents du recourant, qui sont irréprochables chez ce conducteur professionnel constamment exposé à la faute, ne fournissent pas non plus d'éléments qui permettraient de soupçonner chez lui une tendance à la négligence grossière au volant. En définitive, les conditions de l'infraction grave au sens de l'art. 16c LCR - double gravité de la mise en danger et de la faute - ne sont pas réunies. Dans ces conditions, l'infraction commise peut encore être considérée comme étant de moyenne gravité au sens de l'art. 16b al. 1 let. a LCR. Par conséquent, en application de l'art. 16b al. 2 let. a LCR et vu les excellents antécédents du recourant en tant que conducteur, un retrait s'en tenant au minimum légal d'un mois suffit à sanctionner l'infraction commise.</w:t>
      </w:r>
    </w:p>
    <w:p>
      <w:r>
        <w:rPr>
          <w:b/>
        </w:rPr>
        <w:t>E. 6</w:t>
      </w:r>
    </w:p>
    <w:p>
      <w:r>
        <w:t>Au vu de ce qui précède, le recours doit être partiellement admis et la décision réformée en ce sens que la durée du retrait est ramenée à un mois. Un émolument réduit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