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CR.2006.0082 vom 20. September 2006</w:t>
      </w:r>
    </w:p>
    <w:p>
      <w:r>
        <w:t>VD Tribunal cantonal, 2006-09-20, FR</w:t>
      </w:r>
    </w:p>
    <w:p>
      <w:r>
        <w:rPr>
          <w:b/>
        </w:rPr>
        <w:t xml:space="preserve">Quelle: </w:t>
      </w:r>
      <w:r>
        <w:t>https://mcp.opencaselaw.ch/entscheid/vd_omni_CR.2006.0082</w:t>
      </w:r>
    </w:p>
    <w:p>
      <w:r>
        <w:t>FR: VD_OMNI CR.2006.0082 du 20 septembre 2006</w:t>
      </w:r>
    </w:p>
    <w:p>
      <w:r>
        <w:t>IT: VD_OMNI CR.2006.0082 del 20 settembre 2006</w:t>
      </w:r>
    </w:p>
    <w:p>
      <w:pPr>
        <w:pStyle w:val="Heading2"/>
      </w:pPr>
      <w:r>
        <w:t>Regeste</w:t>
      </w:r>
    </w:p>
    <w:p>
      <w:r>
        <w:t>X. /Service des automobiles et de la navigation | Conducteur au volant d'un motocycle, qui circule sur une surface interdite au trafic (sur 20m) et remonte (sur 200m) une file de véhicules à l'arrêt par la bande d'arrêt d'urgence. Faute qualifiée de légère, compte tenu de la vitesse des véhicules et des circonstances. Précédent avertissement moins d'un an auparavant. Retrait du permis de conduire ramené de 2 à 1 mois.</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remontent au 23 juin 2005.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a) 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Chacun se conformera aux signaux et aux marques, ainsi qu'aux ordres de police (art. 27 al. 1 LCR). A teneur de l’art. 36 al. 3 OCR (inchangé), le conducteur n’utilisera la bande d’arrêt d’urgence et les places prévues pour les véhicules en panne et signalées comme telles qu’en cas de nécessité absolue. Il y a nécessité absolue au sens de l’art. 36 al. 3 OCR si un événement soudain et inattendu empêche le conducteur de continuer sa route. L’événement peut toucher le véhicule lui-même (par ex. panne de moteur, de lumière ou d’essence ; ATF 105 IV 213) ou le conducteur. b) La loi fait la distinction entre les cas de peu de gravité (art. 16a LCR), les cas de gravité moyenne (art. 16b LCR) et les cas graves (art. 16c LCR).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c) Le prononcé d’une mesure administrative présuppose que le conducteur ait provoqué une mise en danger.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conducteur se verrait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un conducteur aux bons antécédents a encouru un avertissement pour n’avoir parcouru qu’une soixantaine de mètres sur la bande d’arrêt d’urgence puis réintégré la file en constatant que la sortie était encore loin). Dans des arrêts ultérieurs (cas d'usage de la bande d'arrêt d'urgence au cours des travaux de réfection du tunnel de Glion sur l'autoroute A9), le tribunal a cependant retenu que les circonstances de l'espèce ne permettaient pas de discerner une mise en danger, si ce n'est dans une mesure insignifiante, si bien qu'il se justifiait d'abandonner toute mesure administrative (CR.2005.0169 du 7 août 2006, CR.2005.0447 du 20 juillet 2006, CR.2005.0063 du 9 juin 2006; voir également la décision rendue dans la cause CR.2005.0277 le 25 avril 2006 à la suite d'une libération par le juge pénal).</w:t>
      </w:r>
    </w:p>
    <w:p>
      <w:r>
        <w:rPr>
          <w:b/>
        </w:rPr>
        <w:t>E. 4</w:t>
      </w:r>
    </w:p>
    <w:p>
      <w:r>
        <w:t>Le recourant ne conteste pas les faits qui lui sont reprochés. Il reconnaît dès lors avoir remonté au guidon de son motocycle une file de véhicules à l’arrêt en circulant en premier lieu sur une surface interdite au trafic, puis en empruntant la bande d’arrêt d’urgence sur une distance de deux cent mètres environ, non sans préciser qu’il roulait à l’allure du pas. On est loin de l’hypothèse du conducteur qui circulerait à vive allure sur la bande d’arrêt d’urgence pour devancer un flux de trafic dont le ralentissement ne serait qu’en cours de formation. Dans une file à l’arrêt, l’hypothèse d’un véhicule en perdition qui devrait subitement quitter la file de droite de l’autoroute est finalement assez peu vraisemblable. Reste toutefois l’hypothèse où l’intervention de la police ou des véhicules sanitaires nécessiterait que les véhicules circulant normalement s’écartent sur la bande d’arrêt d’urgence. Dans un tel cas, le recourait n’aurait probablement pas gêné cette manœuvre dès lors qu’il était au guidon d’un motocycle qui est plus mobile et de moindres dimensions qu’une voiture.  Le recourant a donc créé un risque, mais il n’est pas très important compte tenu des circonstances. Il n’est pas certain qu’on puisse admettre dans ces conditions l’existence d’une mise en danger de gravité moyenne. Or c’est celle-ci qui est déterminante pour apprécier la gravité de la faute en fonction de la conscience qu’il pouvait avoir de créer un danger. En l’espèce, contrairement à ce que le SAN a retenu, la faute du recourant doit être qualifiée de légère.</w:t>
      </w:r>
    </w:p>
    <w:p>
      <w:r>
        <w:rPr>
          <w:b/>
        </w:rPr>
        <w:t>E. 5</w:t>
      </w:r>
    </w:p>
    <w:p>
      <w:r>
        <w:t>La réputation du recourant en tant que conducteur de véhicules n’est pas sans tache ; il avait déjà fait l’objet d’un précédent avertissement moins d’une année auparavant pour une (autre) faute de circulation routière.  Au vu de sa faute (légère) et de cet antécédent, il convient de prononcer un retrait du permis de conduire d’une durée d’un mois, ce qui correspond au minimum légal (art. 16a al. 2 LCR) en lieu et place du retrait d’une durée de deux mois prononcé par le SAN. Le recourant obtient donc gain de cause sur ses conclusions subsidiaires. L’art. 16a al. 2 LCR ne permet toutefois pas au tribunal de prononcer un avertissement, auquel le recourant conclut à titre principal. On relève par ailleurs qu'il en irait de même sous l'empire de l’ancien droit de la circulation routière (voir l’art. 31 al. 2 OAC  dans sa teneur antérieure au 1 er janvier 2005).</w:t>
      </w:r>
    </w:p>
    <w:p>
      <w:r>
        <w:rPr>
          <w:b/>
        </w:rPr>
        <w:t>E. 6</w:t>
      </w:r>
    </w:p>
    <w:p>
      <w:r>
        <w:t>Les considérants qui précèdent conduisent à une admission partielle du recours.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donc laissés à la charge de l’Etat qui, en contrepartie, ne versera pas de dépens au recourant. Dès lors que le permis a été déposé le 7 août 2006 (en dépit de l'effet suspensif accordé au recours), la mesure est à ce jour d'ores et déjà exécutée, aussi le permis est-il immédiatement restitué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