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CR.2006.0080 vom 5. Dezember 2006</w:t>
      </w:r>
    </w:p>
    <w:p>
      <w:r>
        <w:t>VD Tribunal cantonal, 2006-12-05, FR</w:t>
      </w:r>
    </w:p>
    <w:p>
      <w:r>
        <w:rPr>
          <w:b/>
        </w:rPr>
        <w:t xml:space="preserve">Quelle: </w:t>
      </w:r>
      <w:r>
        <w:t>https://mcp.opencaselaw.ch/entscheid/vd_omni_CR.2006.0080</w:t>
      </w:r>
    </w:p>
    <w:p>
      <w:r>
        <w:t>FR: VD_OMNI CR.2006.0080 du 5 décembre 2006</w:t>
      </w:r>
    </w:p>
    <w:p>
      <w:r>
        <w:t>IT: VD_OMNI CR.2006.0080 del 5 dicembre 2006</w:t>
      </w:r>
    </w:p>
    <w:p>
      <w:pPr>
        <w:pStyle w:val="Heading2"/>
      </w:pPr>
      <w:r>
        <w:t>Regeste</w:t>
      </w:r>
    </w:p>
    <w:p>
      <w:r>
        <w:t>X. /Service des automobiles et de la navigation | Le fait de ne pas parvenir à s'arrêter à temps lors d'un brusque ralentissement sur l'autoroute et de heurter le véhicule précédent constitue un cas de moyenne gravité. Compte tenu de l'utilité professionnelle, le retrait de deux mois est ramené au minimum légal d'un mois. Recours partiellement admis.</w:t>
      </w:r>
    </w:p>
    <w:p>
      <w:pPr>
        <w:pStyle w:val="Heading2"/>
      </w:pPr>
      <w:r>
        <w:t>Erwägungen</w:t>
      </w:r>
    </w:p>
    <w:p>
      <w:r>
        <w:rPr>
          <w:b/>
        </w:rPr>
        <w:t>E. 1</w:t>
      </w:r>
    </w:p>
    <w:p>
      <w:r>
        <w:t>L'infraction litigieuse a eu lieu en 2004, de sorte que les anciennes dispositions légales, en vigueur jusqu'au 31 décembre 2004, sont applicables en l'espèce.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3</w:t>
      </w:r>
    </w:p>
    <w:p>
      <w:r>
        <w:t>En l'espèce, le recourant ne conteste pas avoir circulé à une distance de 20 à 30 mètres derrière le véhicule le précédant à une vitesse de 90 km/h et être entré en collision avec ledit véhicule après un brusque ralentissement du trafic. En ne parvenant pas à s'arrêter sans encombres suite à un freinage inattendu et en heurtant le véhicule le précédant, le recourant a violé l'art. 31 al. 1 LCR qui dispose que le conducteur devra rester constamment maître de son véhicule de façon à pouvoir se conformer aux devoirs de la prudence,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précède, afin de pouvoir s'arrêter à temps en cas de freinage inattendu. La faute commise par le recourant réside dans le fait que, devant un brusque ralentissement du trafic, il n'a pas pu éviter la collision malgré un freinage d'urgence en raison d'une distance de sécurité insuffisante. On relèvera que les dégâts causés aux véhicules impliqués dans la collision étaient importants et qu'une conductrice a été blessée; il ne s'agit donc pas d'un cas bénin. Même si le recourant n'a pas talonné l'autre véhicule à très courte distance, il n'en reste pas moins que la distance de sécurité n'était pas suffisante, puisqu'il n'a pas réussi à s'arrêter sans encombres. En pareil cas, le tribunal de céans considère en général que la faute commise constitue à tout le moins une faute moyenne (qu'il y ait eu ou non accident), car un tel comportement va clairement à l'encontre des règles élémentaires de prudence que se doit de respecter tout conducteur circulant sur l'autoroute (arrêts CR.1998.0041; CR.1998.0148; CR.2000.0079; CR.2000.0124; CR.2000.0176; CR.2000.0261; CR.2000.0289; CR.2001.0102; CR.2002.0259; CR.2003.0034; CR.2003.0147). Néanmoins, dans un certain nombre d’arrêts portant sur le non respect de la distance de sécurité sur l’autoroute, le Tribunal administratif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 2000/0029 du 27 juillet 2001, CR 2002/0093 du 16 avril 2003, CR 2002/0187 du 21 juillet 2004, CR 2004/0293 du 2 mars 2005, CR.2005.0183 du 18 août 2006). Rien ne permet cette conclusion en l'espèce. On relèvera surtout que le premier véhicule confronté au ralentissement est parvenu à s'arrêter à temps. Le cas présent ne constitue dès lors pas un cas de peu de gravité susceptible d'un simple avertissement. On relèvera à cet égard que, même si par hypothèse le tribunal considérait la faute commise comme légère, il ne pourrait pas non plus considérer le cas comme un cas de peu de gravité dès lors que le recourant a fait l'objet d'un précédent retrait de permis un peu plus d'un an avant la commission de la présente infraction; un avertissement serait donc également exclu dans cette hypothèse.</w:t>
      </w:r>
    </w:p>
    <w:p>
      <w:r>
        <w:rPr>
          <w:b/>
        </w:rPr>
        <w:t>E. 4</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comme on l'a vu, la faute commise est moyenne; par ailleurs, le recourant a fait l'objet d'un retrait de permis d'un mois arrivé à échéance en juillet 2003, de sorte que sa réputation de conducteur n'est pas sans tache. A cet élément défavorable, il faut opposer en faveur du recourant la relative utilité professionnelle dont peut se prévaloir le recourant en tant que directeur commercial d'un grand club de ******** appelé à beaucoup se déplacer dans le cadre de son travail. Dans ces conditions, le tribunal juge que l'utilité professionnelle dont peut se prévaloir le recourant permet de compenser ses antécédents en tant que conducteur, de sorte qu'un retrait de permis s'en tenant au minimum d'un mois est adéquat en l'espèce.</w:t>
      </w:r>
    </w:p>
    <w:p>
      <w:r>
        <w:rPr>
          <w:b/>
        </w:rPr>
        <w:t>E. 5</w:t>
      </w:r>
    </w:p>
    <w:p>
      <w:r>
        <w:t>Au vu de ce qui précède, la décision attaquée doit être réformée en ce sens que la durée du retrait est ramenée à un mois. Le recours n'est ainsi que partiellement admis, de sorte qu'un émolument réduit sera mis à la charge du recourant qui aura toutefois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