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CR.2006.0056 vom 12. Oktober 2006</w:t>
      </w:r>
    </w:p>
    <w:p>
      <w:r>
        <w:t>VD Tribunal cantonal, 2006-10-12, FR</w:t>
      </w:r>
    </w:p>
    <w:p>
      <w:r>
        <w:rPr>
          <w:b/>
        </w:rPr>
        <w:t xml:space="preserve">Quelle: </w:t>
      </w:r>
      <w:r>
        <w:t>https://mcp.opencaselaw.ch/entscheid/vd_omni_CR.2006.0056</w:t>
      </w:r>
    </w:p>
    <w:p>
      <w:r>
        <w:t>FR: VD_OMNI CR.2006.0056 du 12 octobre 2006</w:t>
      </w:r>
    </w:p>
    <w:p>
      <w:r>
        <w:t>IT: VD_OMNI CR.2006.0056 del 12 ottobre 2006</w:t>
      </w:r>
    </w:p>
    <w:p>
      <w:pPr>
        <w:pStyle w:val="Heading2"/>
      </w:pPr>
      <w:r>
        <w:t>Regeste</w:t>
      </w:r>
    </w:p>
    <w:p>
      <w:r>
        <w:t>X. /Service des automobiles et de la navigation | Non-respect de la distance (longueur d'un véhicule) en circulation en file sur un trajet de 1500 mètres. Faute (non pas grave, mais) de gravité moyenne: retrait de permis de 3 mois ramené à 1 mois. Demande du recourant tendant à pouvoir bénéficier de son permis pour ses trajets professionnels (chauffeur-livreur) refusée, faute de base légale. Refus du retrait différencié (par catégories de véhicules).</w:t>
      </w:r>
    </w:p>
    <w:p>
      <w:pPr>
        <w:pStyle w:val="Heading2"/>
      </w:pPr>
      <w:r>
        <w:t>Erwägungen</w:t>
      </w:r>
    </w:p>
    <w:p>
      <w:r>
        <w:rPr>
          <w:b/>
        </w:rPr>
        <w:t>E. 1</w:t>
      </w:r>
    </w:p>
    <w:p>
      <w:r>
        <w:t>Le recourant ne conteste pas les faits qui lui sont reprochés, à savoir en particulier celui de ne pas avoir respecté une distance suffisante avec le véhicule de police banalisé qui le précédait sur un trajet de 1'500 mètres. Le Tribunal de céans retient dès lors que le recourant a violé les art. 34 al. 4 LCR et 12 al. 1 OCR. Selon l’art. 34 al. 4 LCR, le conducteur observera une distance suffisante envers tous les usagers de la route, notamment lorsque les véhicules se suivent ; l’art. 12 al. 1 OCR précise que, lorsque des véhicules se suivent, le conducteur se tiendra à une distance suffisante du véhicule qui le précède, afin de pouvoir s’arrêter à temps en cas de freinage inattendu. Le tribunal de céans a déjà jugé qu'à une vitesse de 100 km/h., une distance de 20 mètres était insuffisante (CR 1997/0085 du 26 septembre 1997; voir aussi CR 2001/0102 du 3 mai 2001).</w:t>
      </w:r>
    </w:p>
    <w:p>
      <w:r>
        <w:rPr>
          <w:b/>
        </w:rPr>
        <w:t>E. 2</w:t>
      </w:r>
    </w:p>
    <w:p>
      <w:r>
        <w:t>a) Commet une infraction légère la personne qui, en violant les règles de la circulation, met légèrement en danger la sécurité d’autrui et à laquelle seule une faute bénigne peut être imputée (art. 16a al. 1 lett.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lett. a LCR). Après une infraction moyennement grave, le permis de conduire est retiré pour un mois au minimum (art. 16b al. 2 lett. a LCR). Si au cours des deux années précédentes, le permis de conduire avait déjà été retiré une fois en raison d’une infraction grave ou moyennement grave, le permis de conduire est retiré pour quatre mois au minimum (art. 16b al. 2 lett. b LCR). c) Commet une infraction grave la personne qui, en violant gravement les règles de la circulation, met sérieusement en danger la sécurité d’autrui ou en prend le risque (art. 16c al. 1 lett. a LCR). Après une infraction grave, le permis de conduire est retiré pour trois mois au minimum (art. 16c al. 2 lett. a LCR). Il est retiré pour six mois au minimum si, au cours des cinq années précédentes, le permis a été retiré une fois en raison d’une infraction moyennement grave (art. 16c al. 2 lett. b LCR).</w:t>
      </w:r>
    </w:p>
    <w:p>
      <w:r>
        <w:rPr>
          <w:b/>
        </w:rPr>
        <w:t>E. 3</w:t>
      </w:r>
    </w:p>
    <w:p>
      <w:r>
        <w:t>mai 2001 ; CR 2003/0034 du 25 juillet 2003 ; CR 2004.0162 du 25 novembre 2004). En l’espèce, on notera que la mise en danger créée par le comportement du recourant constitue une mise en danger abstraite puisqu’aucun accident n’a été à déplorer ; son intensité n’est pas légère, puisque le recourant a conduit à une distance clairement insuffisante du véhicule qui le précédait sur un trajet de 1'500 mètres au total, avant d’être interpellé; au surplus, il circulait au volant d’un véhicule articulé, ce qui aurait dû l’inciter à une prudence particulière. Il faut toutefois observer que les conditions étaient bonnes, le ciel étant dégagé et la chaussée sèche. S’agissant des déclarations du recourant, selon lesquelles les agents de police l’auraient empêché de dépasser, elles n’excusent aucunement son comportement. On observe d’ailleurs que le recourant a présenté cette version des faits uniquement dans le cadre de son recours et qu’il n'y est pas fait même allusion dans son courrier au SAN du 15 novembre 2005. Au surplus, cette version des faits est clairement démontée par le témoin entendu, qui relève les faits avec précision (distance d'un véhicule), ainsi qu'avec des observations si détaillées qu'elles apparaissent plus que plausibles ("on avait les phares quasiment dans le coffre"). Compte tenu de ces éléments, la faute du recourant ne saurait être tenue pour légère. Au vu de la jurisprudence rappelée plus haut, le tribunal ne retiendra cependant qu'une faute de moyenne gravité, au sens de l’art. 16b al. 1 lett. a LCR. Celle-ci doit être sanctionnée par un retrait du permis de conduire d’un mois (art. 16b al. 2 lett. a LCR). En effet, le recourant fait l’objet d’un antécédent (retrait du permis de conduire d’un mois prononcé le 5 août 2002) mais ce dernier a été prononcé (et exécuté) plus de deux ans auparavant. Par ailleurs, la durée de ce retrait du permis de conduire – correspondant au minimum légal - tient équitablement compte de la nécessité professionnelle du recourant de bénéficier de son permis dans le cadre de son activité de chauffeur-livreur.</w:t>
      </w:r>
    </w:p>
    <w:p>
      <w:r>
        <w:rPr>
          <w:b/>
        </w:rPr>
        <w:t>E. 4</w:t>
      </w:r>
    </w:p>
    <w:p>
      <w:r>
        <w:t>A titre subsidiaire, le recourant demande à pouvoir bénéficier de son permis de conduire pour ses trajets professionnels, la mesure de retrait de permis étant limitée à ses trajets privés. Il n’est pas possible, faute de base légale, de procéder à la différenciation souhaitée par le recourant. On peut toutefois interpréter sa requête en ce sens qu’il demande à pouvoir bénéficier d’un retrait différencié de son permis de conduire selon l’art. 33 al. 5 OAC. Aux termes de l’art. 33 al. 1 OAC, le retrait du permis de conduire d’une catégorie ou sous-catégorie de véhicules automobiles entraîne le retrait du permis de toutes les catégories et sous-catégories de véhicules. Afin d’éviter les conséquences d’une rigueur excessive, l’art. 33 al. 5 OAC prévoit que le retrait du permis de conduire peut être décidé pour une durée différente selon les catégories, sous-catégories, ou catégories spéciales, sous réserve d’observer la durée minimale fixée par la loi. Cette manière de faire est autorisée notamment lorsque l’intéressé a commis une infraction justifiant la mesure de retrait avec un véhicule dont il n’a pas besoin pour exercer sa profession et lorsqu’il jouit d’une bonne réputation en tant que conducteur des véhicules de la catégorie pour laquelle il s’agit d’abréger la durée de retrait. En l’espèce, l’infraction reprochée au recourant a été commise au volant d'un véhicule de livraison de l'entreprise. Par ailleurs, la durée du retrait correspond au minimum légal (à savoir un mois). Il n’est dès lors pas possible de prononcer un retrait du permis de conduire d’une durée inférieure à un mois, affectant telle ou telle catégorie de véhicules utilisé pour les besoins professionnels du recourant. 5.                Les considérants qui précèdent conduisent à une 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donc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