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CR.2006.0041 vom 23. November 2006</w:t>
      </w:r>
    </w:p>
    <w:p>
      <w:r>
        <w:t>VD Tribunal cantonal, 2006-11-23, FR</w:t>
      </w:r>
    </w:p>
    <w:p>
      <w:r>
        <w:rPr>
          <w:b/>
        </w:rPr>
        <w:t xml:space="preserve">Quelle: </w:t>
      </w:r>
      <w:r>
        <w:t>https://mcp.opencaselaw.ch/entscheid/vd_omni_CR.2006.0041</w:t>
      </w:r>
    </w:p>
    <w:p>
      <w:r>
        <w:t>FR: VD_OMNI CR.2006.0041 du 23 novembre 2006</w:t>
      </w:r>
    </w:p>
    <w:p>
      <w:r>
        <w:t>IT: VD_OMNI CR.2006.0041 del 23 novembre 2006</w:t>
      </w:r>
    </w:p>
    <w:p>
      <w:pPr>
        <w:pStyle w:val="Heading2"/>
      </w:pPr>
      <w:r>
        <w:t>Regeste</w:t>
      </w:r>
    </w:p>
    <w:p>
      <w:r>
        <w:t>X. /Service des automobiles et de la navigation | Perte de maîtrise d'une puissante voiture de sport en entrant sur l'autoroute mouillée. Peu importe qu'il s'agisse d'un prétendu enclenchement intempestif des turbos. A l'instar du juge pénal qui a appliqué l'art. 90 ch. 1 LCR, le tribunal (selon sa pratique) retient qu'il s'agit d'une infraction de moyenne gravité. Vu les excellents antécédents du recourant, il se justifie de ramener la durée du retrait au minimum légal d'un mois. Recours admis.</w:t>
      </w:r>
    </w:p>
    <w:p>
      <w:pPr>
        <w:pStyle w:val="Heading2"/>
      </w:pPr>
      <w:r>
        <w:t>Erwägungen</w:t>
      </w:r>
    </w:p>
    <w:p>
      <w:r>
        <w:rPr>
          <w:b/>
        </w:rPr>
        <w:t>E. 1</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w:t>
      </w:r>
    </w:p>
    <w:p>
      <w:r>
        <w:rPr>
          <w:b/>
        </w:rPr>
        <w:t>E. 6</w:t>
      </w:r>
    </w:p>
    <w:p>
      <w:r>
        <w:t>avril 2006 ). 3. En l'espèce, le recourant ne conteste pas la perte de maîtrise, mais il soutient que l'enclenchement intempestif des turbos en est la cause et non pas une vitesse inadaptée. Cet argument est nouveau. En effet, le recourant a déclaré aux policiers qu'il avait accéléré et que l'arrière de son véhicule est soudain parti en glissade sur la chaussée mouillée; il n'a pas parlé de l'enclenchement des turbos alors qu'il ressort du dossier qu'il était employé dans un garage avant d'être rentier AI et qu'il possède vraisemblablement une meilleure connaissance des voitures que le conducteur moyen. Peu importe en définitive car même si, par hypothèse, on retient la version du recourant, soit une perte de maîtrise due à l'enclenchement des turbos et non pas due à une vitesse inadaptée sur route mouillée, il faut également lui reprocher de ne pas avoir adapté sa conduite aux particularités du véhicule. En ne parvenant pas à maîtriser son véhicule qui est parti en dérapage, le recourant a en tout cas violé l'art. 31 al. 1 LCR qui prévoit que le conducteur devra rester constamment maître de son véhicule de façon à pouvoir se conformer aux devoirs de la prudence. Compte tenu de la chaussée mouillée et surtout de la puissance du véhicule qu'il conduisait pour la première fois, le recourant se devait de faire preuve d'une prudence accrue en entrant sur l'autoroute : en effet, il est notoire qu'une voiture de sport dotée de 335 chevaux possède une capacité d'accélération hors du commun qui crée justement un risque élevé de dérapage en cas d'accélération sur route mouillée. On ne peut donc pas considérer la faute de circulation du recourant comme une faute bénigne, ni, surtout, compte tenu de l'accident subséquent qu'il a provoqué, nier qu'il ait concrètement et gravement mis en danger la sécurité routière, même s'il n'a heureusement engendré que des dommages matériels. Cette embardée constituait une source importante de danger pour les autres usagers et aurait pu avoir des conséquences bien plus graves. Cependant, à l'instar du juge pénal qui a fait application de l'art. 90 ch. 1 LCR et comme le Tribunal administratif l'a jugé à de nombreuses reprises dans d'autres affaires concernant des pertes de maîtrise sur l'autoroute (arrêts CR.2005.0093; CR.2005.0066; CR.2005.0212, CR.2004.0317), on ne considérera pas cette faute comme grave, mais comme moyennement grave. 4. Au vu ce de qui précède, l'infraction apparaît comme un cas de moyenne gravité qui doit entraîner, conformément à l'art. 16b al. 2 let. a LCR, un retrait du permis d'une durée d'un mois au moins.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Compte tenu des excellents antécédents du recourant, qui conduit depuis trente ans sans avoir fait l'objet d'une mesure administrative, il convient dès lors de s'en tenir au minimum légal d'un mois. Par conséquent, la décision attaquée sera réformée en ce sens que la durée du retrait est ramenée à un mois. 5. Le recours est ainsi admis sans frais pour le recourant qui, obtenant gain de cause avec le concours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