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CR.2006.0014 vom 23. August 2006</w:t>
      </w:r>
    </w:p>
    <w:p>
      <w:r>
        <w:t>VD Tribunal cantonal, 2006-08-23, FR</w:t>
      </w:r>
    </w:p>
    <w:p>
      <w:r>
        <w:rPr>
          <w:b/>
        </w:rPr>
        <w:t xml:space="preserve">Quelle: </w:t>
      </w:r>
      <w:r>
        <w:t>https://mcp.opencaselaw.ch/entscheid/vd_omni_CR.2006.0014</w:t>
      </w:r>
    </w:p>
    <w:p>
      <w:r>
        <w:t>FR: VD_OMNI CR.2006.0014 du 23 août 2006</w:t>
      </w:r>
    </w:p>
    <w:p>
      <w:r>
        <w:t>IT: VD_OMNI CR.2006.0014 del 23 agosto 2006</w:t>
      </w:r>
    </w:p>
    <w:p>
      <w:pPr>
        <w:pStyle w:val="Heading2"/>
      </w:pPr>
      <w:r>
        <w:t>Regeste</w:t>
      </w:r>
    </w:p>
    <w:p>
      <w:r>
        <w:t>X. /Service des automobiles et de la navigation | Seul un avertissement doit être prononcé à l'encontre d'une conductrice aux excellents antécédents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Pas de violation du droit d'être entendu de la part du SAN qui a donné à l'intéressée l'occasion de consulter son dossier et de s'exprimer sur la mesure envisagée.</w:t>
      </w:r>
    </w:p>
    <w:p>
      <w:pPr>
        <w:pStyle w:val="Heading2"/>
      </w:pPr>
      <w:r>
        <w:t>Erwägungen</w:t>
      </w:r>
    </w:p>
    <w:p>
      <w:r>
        <w:rPr>
          <w:b/>
        </w:rPr>
        <w:t>E. 1</w:t>
      </w:r>
    </w:p>
    <w:p>
      <w:r>
        <w:t>Les faits ayant conduit à la décision attaquée se sont produits le 5 novembre 2004, soit avant l’entrée en vigueur des nouvelles dispositions légales, le 1 er janvier 2005. C’est donc à juste titre que l’autorité intimée a appliqué l’ancien droit, en vigueur jusqu’au 31 décembre 2004.</w:t>
      </w:r>
    </w:p>
    <w:p>
      <w:r>
        <w:rPr>
          <w:b/>
        </w:rPr>
        <w:t>E. 2</w:t>
      </w:r>
    </w:p>
    <w:p>
      <w:r>
        <w:t>En préambule, la recourante semble reprocher au Service des automobiles une violation de son droit d’être entendu. Garanti par l'art. 29 al. 2 Cst, le droit d'être entendu comprend en particulier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105 1a 288 et les références citées). L'art. 23, al. 1er, 2ème phrase, LCR rappelle cette garantie en ces termes : "En règle générale, l'autorité entendra l'intéressé avant de lui retirer son permis de conduire ou de le soumettre à une interdiction de circuler". La réserve résultant de l'expression en règle générale concerne les cas exceptionnels où la mesure administrative est urgente et qu'elle ne peut être différée en raison de motifs tirés de la sécurité routière (Bussy/Rusconi, Code suisse de la circulation routière, Lausanne 1996, n. 2.4 ad art. 23 LCR). L'art. 35 al. 1 er de l'ordonnance du 27 octobre 1976 réglant l'admission des personnes et des véhicules à la circulation routière (OAC) précise encore ce qui suit : "Même si l'intéressé a été interrogé par la police lors d'une constatation des faits, l'autorité compétente pour prononcer le retrait doit lui offrir l'occasion de consulter le dossier et de s'exprimer oralement ou par écrit sur la mesure envisagée, avant qu'elle ne décide de retirer le permis de conduire ou de donner un avertissement". En l’espèce, force est de constater qu’en permettant à la recourante de consulter son dossier et de s’exprimer par écrit sur la mesure envisagée, l’autorité intimée a respecté son droit d’être entendu.</w:t>
      </w:r>
    </w:p>
    <w:p>
      <w:r>
        <w:rPr>
          <w:b/>
        </w:rPr>
        <w:t>E. 3</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l'ATF 119 Ib 158 consid. 3). En l'espèce, la recourante a certes renoncé à contester le prononcé préfectoral rendu à son encontre. Elle ignorait toutefois qu’une procédure administrative allait être engagée à son encontre, puisque le prononcé préfectoral est antérieur de plus de neuf mois au préavis du Service des automobiles du 21 octobre 2005. Par conséquent, l’on peut croire la recourante lorsqu’elle explique ne pas avoir contesté ce prononcé par gain de paix en ignorant les conséquences qu’il pouvait avoir pour elle sur le plan administratif. La recourante n’ayant pas eu l’occasion de s’exprimer dans la procédure pénale, notamment devant le Préfet (prononcé sans citation), le Tribunal administratif se réserve dès lors le droit de s’écarter cas échéant du prononcé préfectoral.</w:t>
      </w:r>
    </w:p>
    <w:p>
      <w:r>
        <w:rPr>
          <w:b/>
        </w:rPr>
        <w:t>E. 4</w:t>
      </w:r>
    </w:p>
    <w:p>
      <w:r>
        <w:t>a)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b)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 en tant que conducteur, le prononcé d'un simple avertissement n'est pas exclu même si l'atteinte à la sécurité de la route a été grave (ATF 125 II 561). Compte tenu de cette jurisprudence, le Tribunal administratif a jugé qu'il ne se justifiait plus d'appliquer le principe selon lequel, d'une façon générale, une perte de maîtrise sur l'autoroute et cause d'accident ne saurait être considérée comme un cas de peu de gravité au sens de l'art. 16 al. 2 LCR, susceptible d'un avertissement, mais au contraire de s'en tenir à l'examen de la faute commise et de la réputation du contrevenant en tant que conducteur de véhicules automobiles (CR.2000.0156 du 10 novembre 2000; CR.2000.0225 du 5 avril 2001). Par ailleurs, il ne saurait être question de tenir compte des besoins professionnels de l'intéressé, ceux-ci ne jouant un rôle que lorsqu'il s'agit de fixer la durée du retrait (JdT 1992 I 698). c) On relèvera cependant ici à l’attention de la recourante qu’une condamnation pénale fondée sur l’art. 90 ch. 1 LCR n’implique pas nécessairement que le cas doive être considéré comme de peu de gravité au sens de l'art. 16 al. 2, 1 ère phrase LCR; il peut parfaitement s'agir d'un cas de moyenne gravité au sens de l'art. 16 al. 2, 1 ère phrase LCR. Un cas de peu de gravité n'a donc pas à être retenu du seul fait que la recourante a été condamnée en application de l'art. 90 ch. 1 LCR (CR.2005.0066 du 20 octobre 2005).</w:t>
      </w:r>
    </w:p>
    <w:p>
      <w:r>
        <w:rPr>
          <w:b/>
        </w:rPr>
        <w:t>E. 5</w:t>
      </w:r>
    </w:p>
    <w:p>
      <w:r>
        <w:t>En ne parvenant pas à s’immobiliser derrière les véhicules à l’arrêt malgré un freinage énergique, la recourante a violé l’art. 31 al. 1 LCR qui prévoit, de façon générale, que le conducteur devra rester constamment maître de son véhicule, de façon à pouvoir se conformer aux devoirs de la prudence. La recourante se défend de n'avoir pas porté une attention insuffisante à la route et à la circulation (et conteste ainsi l'infraction à l’art. 3 al. 1 OCR). Elle dit avoir bien vu le ralentissement alors qu’elle se trouvait à environ 30 mètres du véhicule qui la précédait. Elle a alors freiné énergiquement, mais manifestement pas suffisamment (ou trop tardivement) pour éviter le choc. La faute commise par la recourante résiderait donc dans une mauvaise appréciation des conditions du trafic. Le comportement de la recourante ne relève toutefois pas d’une violation intentionnelle et grossière d’une règle de circulation : en effet, le cas n’est en tout cas pas comparable à celui du conducteur sans scrupule qui talonne un véhicule à moins de 10 mètres de distance pour avoir la voie libre. Sous l’effet de la surprise causée par le brusque ralentissement du trafic et manifestement de la mauvaise appréciation de la situation par la recourante (qui a cru que la file des véhicules n’était pas à l’arrêt, mais seulement ralentie), une telle réaction inappropriée est excusable. Par conséquent, la faute commise par la recourante n’est somme toute que légère. Compte tenu de la bonne réputation de la recourante en tant que conductrice, le tribunal de céans considère que les faits qui lui sont reprochés constituent encore un cas de peu de gravité au sens de l’art. 16 al. 2 LCR. Dès lors, en vertu de l’art. 31 al. 2 OAC, seul un avertissement peut être prononcé à son encontre.</w:t>
      </w:r>
    </w:p>
    <w:p>
      <w:r>
        <w:rPr>
          <w:b/>
        </w:rPr>
        <w:t>E. 6</w:t>
      </w:r>
    </w:p>
    <w:p>
      <w:r>
        <w:t>Au vu de ce qui précède, le recours doit être admis sans frais pour la recourante qui, non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