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CR.2005.0465 vom 24. Juli 2006</w:t>
      </w:r>
    </w:p>
    <w:p>
      <w:r>
        <w:t>VD Tribunal cantonal, 2006-07-24, FR</w:t>
      </w:r>
    </w:p>
    <w:p>
      <w:r>
        <w:rPr>
          <w:b/>
        </w:rPr>
        <w:t xml:space="preserve">Quelle: </w:t>
      </w:r>
      <w:r>
        <w:t>https://mcp.opencaselaw.ch/entscheid/vd_omni_CR.2005.0465</w:t>
      </w:r>
    </w:p>
    <w:p>
      <w:r>
        <w:t>FR: VD_OMNI CR.2005.0465 du 24 juillet 2006</w:t>
      </w:r>
    </w:p>
    <w:p>
      <w:r>
        <w:t>IT: VD_OMNI CR.2005.0465 del 24 luglio 2006</w:t>
      </w:r>
    </w:p>
    <w:p>
      <w:pPr>
        <w:pStyle w:val="Heading2"/>
      </w:pPr>
      <w:r>
        <w:t>Regeste</w:t>
      </w:r>
    </w:p>
    <w:p>
      <w:r>
        <w:t>X./Service des automobiles et de la navigation | Convaincu par la méthode de mesure des distances utilisée par les policiers, le tribunal retient l'état de fait établi par leurs soins, à savoir plusieurs talonnements à une distance de 5 à 10 mètres commis sur un long tronçon de l'autoroute à 120 km/h. Un tel cas constitue un cas de moyenne gravité au moins qui entraîne un retrait de permis d'un mois. Recours rejeté.</w:t>
      </w:r>
    </w:p>
    <w:p>
      <w:pPr>
        <w:pStyle w:val="Heading2"/>
      </w:pPr>
      <w:r>
        <w:t>Erwägungen</w:t>
      </w:r>
    </w:p>
    <w:p>
      <w:r>
        <w:rPr>
          <w:b/>
        </w:rPr>
        <w:t>E. 1</w:t>
      </w:r>
    </w:p>
    <w:p>
      <w:r>
        <w:t>Les faits litigieux se sont produits en 2004, de sorte que les anciennes dispositions légales en vigueur jusqu'au 31 décembre 2004, sont applicables en l'espèce.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w:t>
      </w:r>
    </w:p>
    <w:p>
      <w:r>
        <w:rPr>
          <w:b/>
        </w:rPr>
        <w:t>E. 3</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Le Tribunal fédéral a confirmé le retrait de permis ordonné à l'encontre d'un conducteur qui circule sur l'autoroute et qui, sur un long tronçon, se tient à une distance de 8 mètres du véhicule qui le précède, alors que le trafic est dense, le cas étant considéré comme de moyenne gravité (ATF 126 II 358).</w:t>
      </w:r>
    </w:p>
    <w:p>
      <w:r>
        <w:rPr>
          <w:b/>
        </w:rPr>
        <w:t>E. 4</w:t>
      </w:r>
    </w:p>
    <w:p>
      <w:r>
        <w:t>En l'espèce, le recourant soutient qu'il a observé une distance suffisante envers les véhicules qui le précédaient et conteste les distances relevées par les dénonciateurs : il prétend qu'il leur était impossible de mesurer la distance en raison du volume de son véhicule qui leur masquait la vue. On ne saurait suivre cet argument : en effet, après avoir entendu les dénonciateurs en audience, le tribunal a été convaincu par l'efficacité de la méthode de mesure des distances utilisée par les dénonciateurs. En se déplaçant sur la voie droite et en prenant comme point de repères la longueur des marques peintes sur la chaussée, les policiers ont été en mesure de relever la distance entre les véhicules qui circulaient devant eux. Par conséquent, on retiendra l'état de fait établi par les policiers, à savoir que le recourant a circulé, à plusieurs reprises, sur un tronçon de 8 kilomètres, à une distance de 5 à 10 mètres derrière les véhicules qui le précédaient, à une vitesse de 120 km/h environ.</w:t>
      </w:r>
    </w:p>
    <w:p>
      <w:r>
        <w:rPr>
          <w:b/>
        </w:rPr>
        <w:t>E. 5</w:t>
      </w:r>
    </w:p>
    <w:p>
      <w:r>
        <w:t>Par son comportement, le recourant a enfreint les art. 34 al. 4 LCR et 12 al. 1 OCR. S’agissant de la faute commise, le recourant a délibérément violé son devoir de prudence et créé une mise en danger du trafic en cas de freinage brusque du véhicule qui le précédait. Comme l'a jugé le Tribunal fédéral dans l'arrêt précité, le cas présent apparaît ainsi comme un cas de moyenne au moins au sens de l’art. 16 al. 2 LCR. C’est d’ailleurs aussi ce qu’a retenu le juge pénal, puisqu’il a fait application de l’art. 90 ch. 1 LCR et non pas de l’art. 90 ch. 2 LCR qui sanctionne une faute grave. Une mesure de retrait du permis de conduire s’impose donc en l’espèce. La mesure de retrait ordonnée pour la durée minimale d'un mois prévue par l'art. 17 al. 1 lit. a LCR doit ainsi être confirmée, sans qu'il soit nécessaire d'examiner l'utilité que revêt pour l'intéressé la possession de son permis. En effet, la jurisprudence du Tribunal fédéral a précisé que le critère de l'utilité professionnelle n'intervient que pour fixer la durée de la mesure lorsqu'elle s'écarte du minimum légal d'un mois ,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 Le recours est ainsi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