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CR.2005.0454 vom 17. November 2006</w:t>
      </w:r>
    </w:p>
    <w:p>
      <w:r>
        <w:t>VD Tribunal cantonal, 2006-11-17, FR</w:t>
      </w:r>
    </w:p>
    <w:p>
      <w:r>
        <w:rPr>
          <w:b/>
        </w:rPr>
        <w:t xml:space="preserve">Quelle: </w:t>
      </w:r>
      <w:r>
        <w:t>https://mcp.opencaselaw.ch/entscheid/vd_omni_CR.2005.0454</w:t>
      </w:r>
    </w:p>
    <w:p>
      <w:r>
        <w:t>FR: VD_OMNI CR.2005.0454 du 17 novembre 2006</w:t>
      </w:r>
    </w:p>
    <w:p>
      <w:r>
        <w:t>IT: VD_OMNI CR.2005.0454 del 17 novembre 2006</w:t>
      </w:r>
    </w:p>
    <w:p>
      <w:pPr>
        <w:pStyle w:val="Heading2"/>
      </w:pPr>
      <w:r>
        <w:t>Regeste</w:t>
      </w:r>
    </w:p>
    <w:p>
      <w:r>
        <w:t>X. /Service des automobiles et de la navigation | Circulation sur la bande d'arrêt d'urgence à une vitesse de 10 à 30 km/h sur 600 mètres env. au motif (avéré) que le véhicule menaçait de tomber en panne. La panne ne s'étant pas produite, le recourant n'a pas arrêté son véhicule, mais a poursuivi sa route sur la bande d'arrêt d'urgence jusqu'à la prochaine sortie: infraction retenue pour usage de la bande d'arrêt sans nécessité "absolue". Faute légère. Pas de mise en danger significative. Renonciation à toute sanction administrative.</w:t>
      </w:r>
    </w:p>
    <w:p>
      <w:pPr>
        <w:pStyle w:val="Heading2"/>
      </w:pPr>
      <w:r>
        <w:t>Erwägungen</w:t>
      </w:r>
    </w:p>
    <w:p>
      <w:r>
        <w:rPr>
          <w:b/>
        </w:rPr>
        <w:t>E. 1</w:t>
      </w:r>
    </w:p>
    <w:p>
      <w:r>
        <w:t>er , 1 ère phrase, de la loi vaudoise du 18 décembre 1989 sur la juridiction et la procédure administratives (ci-après : la LPJA), le recours est intervenu en temps utile. Il est au surplus recevable en la forme.</w:t>
      </w:r>
    </w:p>
    <w:p>
      <w:r>
        <w:rPr>
          <w:b/>
        </w:rPr>
        <w:t>E. 2</w:t>
      </w:r>
    </w:p>
    <w:p>
      <w:r>
        <w:t>Les faits reprochés au recourant se sont produits le 13 octobre 2004. Il s’ensuit que les dispositions légales pertinentes de la loi fédérale du 19 décembre 1958 sur la circulation routière en vigueur à cette date (ci-après : LCR) sont applicables, à l’exclusion des nouvelles dispositions légales entrées en vigueur le 1 er janvier 2005 (cf. disposition finale de la modification du 14 décembre 2001 de la LCR, al. 1).</w:t>
      </w:r>
    </w:p>
    <w:p>
      <w:r>
        <w:rPr>
          <w:b/>
        </w:rPr>
        <w:t>E. 3</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 Il y a nécessité absolue au sens de l’art. 36 al. 3 OCR si un événement soudain et inattendu empêche le conducteur de continuer sa route. L’événement peut toucher le véhicule lui-même (par exemple, panne de moteur, de lumière ou d’essence; cf. ATF 105 IV 213) ou le conducteur.</w:t>
      </w:r>
    </w:p>
    <w:p>
      <w:r>
        <w:rPr>
          <w:b/>
        </w:rPr>
        <w:t>E. 4</w:t>
      </w:r>
    </w:p>
    <w:p>
      <w:r>
        <w:t>Selon l’art. 16 al. 2 LCR (ancien), le permis de conduire peut être retiré au conducteur qui, par des infractions aux règles de la circulation, a compromis la sécurité de la route ou incommodé le public. Un simple avertissement pourra être ordonné dans les cas de peu de gravité. Si la violation des règles de la circulation n’a pas « compromis la sécurité de la route ou incommodé le public », l’autorité n’ordonnera aucune mesure. S’il s’agit seulement d’un cas de peu de gravité, elle ordonnera un avertissement.</w:t>
      </w:r>
    </w:p>
    <w:p>
      <w:r>
        <w:rPr>
          <w:b/>
        </w:rPr>
        <w:t>E. 5</w:t>
      </w:r>
    </w:p>
    <w:p>
      <w:r>
        <w:t>En l’espèce, le recourant ne conteste pas avoir emprunté au volant de son véhicule la bande d’arrêt d’urgence. Il explique de manière convainquante qu'il n'était pas dans ses intentions de prendre la sortie de Villeneuve (puisqu'il se rendait à Lausanne), mais que des problèmes de moteur - probablement d'amenée d'essence - l'avaient contraint à se déporter à plusieurs reprises sur la bande d'arrêt d'urgence et qu'il s'était résolu en définitive à quitter l'autoroute. Le recourant a donc emprunté la bande d’arrêt d’urgence à seule fin d’éviter de tomber en panne sur les voies de circulation avec un véhicule dont le moteur toussait, ce qui aurait bloqué le trafic. Ainsi qu’on l’a déjà relevé (cf. consid. 3 ci-avant), la bande d’arrêt d’urgence a précisément pour finalité de permettre au conducteur confronté à un événement soudain et inattendu (comme une panne de moteur) de quitter la circulation. On ne saurait faire grief au recourant d’avoir mal apprécié la situation, dès lors que – ainsi que l’a confirmé le témoin Y.________ – son véhicule menaçait de tomber en panne de manière imminente. La voiture en question présentait manifestement des problèmes mécaniques, ce que l’épouse du recourant a également confirmé en soulignant qu’elle était elle-même tombée en panne peu après avec le véhicule en question. A la connaissance du Tribunal, ce problème est déjà survenu à ce type de véhicule. En outre, on peut concevoir que lors de son interpellation par la police, le recourant n’ait pas osé donner ces explications pour justifier l’utilisation de la bande d’arrêt d’urgence étant donné que son véhicule fonctionnait apparemment à nouveau normalement. Cela étant, on observe également que le recourant n’a pas arrêté son véhicule sur la bande d’arrêt d’urgence, mais qu’il a continué sa route sur cette dernière, sur une distance de 600 mètres environ, jusqu’à la sortie d’autoroute de Villeneuve. La panne redoutée ne s’est donc pas produite, respectivement elle n’a pas été suffisamment grave pour empêcher le recourant de poursuivre sa route, sur la bande d’arrêt d’urgence, alors qu’il aurait pu se réinsérer dans la circulation. Par conséquent, le recourant a bien commis une infraction aux règles de la circulation au sens de l’art. 16 LCR, en utilisant la bande d’arrêt d’urgence sans nécessité "absolue". Sa faute doit cependant être qualifiée de légère compte tenu des circonstances. Cela étant, le prononcé d’une mesure administrative présuppose que le conducteur ait en outre  provoqué une mise en danger.</w:t>
      </w:r>
    </w:p>
    <w:p>
      <w:r>
        <w:rPr>
          <w:b/>
        </w:rPr>
        <w:t>E. 6</w:t>
      </w:r>
    </w:p>
    <w:p>
      <w:r>
        <w:t>On pourrait imputer la création d’une mise en danger abstraite à celui qui remonte une file de véhicules en empruntant la bande d’arrêt d’urgence, compte tenu du fait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pourrait aussi considérer, même si cela n’est pas l’hypothèse la plus vraisemblable, que les véhicules circulant dans la colonne pourraient devoir, à cause d’une intervention de la police ou d’une ambulance, s’écarter sur la bande d’arrêt d’urgence ou être surpris par un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7</w:t>
      </w:r>
    </w:p>
    <w:p>
      <w:r>
        <w:t>En l’espèce, le rapport de police précise que le recourant n’a gêné aucun autre usager. Il a remonté une file de véhicules qui circulait à faible allure, sur une distance de 600 mètres environ et à une vitesse de l’ordre de 10 à 30 km/h. On est loin de l’hypothèse du conducteur qui circulerait à vive allure sur la bande d’arrêt d’urgence pour devancer un flux de trafic dont le ralentissement ne serait qu’en cours de formation. Dans ces circonstances, l’hypothèse d’un véhicule en perdition qui devrait subitement quitter la file de droite de l’autoroute est finalement assez peu vraisemblable, si bien que le risque créé peut être tenu pour insignifiant. Par conséquent, il se justifie de renoncer à toute sanction administrative. La décision de l’autorité intimée du 23 novembre 2005 doit donc être annulée, en tant qu’elle confirme le retrait du permis de conduire de trois mois infligé le 25 octobre précédent.</w:t>
      </w:r>
    </w:p>
    <w:p>
      <w:r>
        <w:rPr>
          <w:b/>
        </w:rPr>
        <w:t>E. 8</w:t>
      </w:r>
    </w:p>
    <w:p>
      <w:r>
        <w:t>Les considérants qui précèdent conduisent à l’admission du recours, sans frais pour le recourant. Ce dernier a droit à des dépens, dès lors qu'il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