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CR.2005.0414 vom 18. Oktober 2006</w:t>
      </w:r>
    </w:p>
    <w:p>
      <w:r>
        <w:t>VD Tribunal cantonal, 2006-10-18, FR</w:t>
      </w:r>
    </w:p>
    <w:p>
      <w:r>
        <w:rPr>
          <w:b/>
        </w:rPr>
        <w:t xml:space="preserve">Quelle: </w:t>
      </w:r>
      <w:r>
        <w:t>https://mcp.opencaselaw.ch/entscheid/vd_omni_CR.2005.0414</w:t>
      </w:r>
    </w:p>
    <w:p>
      <w:r>
        <w:t>FR: VD_OMNI CR.2005.0414 du 18 octobre 2006</w:t>
      </w:r>
    </w:p>
    <w:p>
      <w:r>
        <w:t>IT: VD_OMNI CR.2005.0414 del 18 ottobre 2006</w:t>
      </w:r>
    </w:p>
    <w:p>
      <w:pPr>
        <w:pStyle w:val="Heading2"/>
      </w:pPr>
      <w:r>
        <w:t>Regeste</w:t>
      </w:r>
    </w:p>
    <w:p>
      <w:r>
        <w:t>X. c/Service des automobiles et de la navigation | Circuler 100 mètres sur la bande d'arrêt d'urgence - remontant ainsi des véhicules par la droite - lors des travaux du tunnel de Glion afin de quitter l'autoroute plus rapidement ne justifie pas le retrait du permis de conduire. Recours admis: décision annulée. Recours au TF du SA.</w:t>
      </w:r>
    </w:p>
    <w:p>
      <w:pPr>
        <w:pStyle w:val="Heading2"/>
      </w:pPr>
      <w:r>
        <w:t>Erwägungen</w:t>
      </w:r>
    </w:p>
    <w:p>
      <w:r>
        <w:rPr>
          <w:b/>
        </w:rPr>
        <w:t>E. 1</w:t>
      </w:r>
    </w:p>
    <w:p>
      <w:r>
        <w:t>L'infraction litigieuse a eu lieu en 2005, de sorte que les nouvelles dispositions légales, en vigueur depuis le 1 er janvier 2005, sont applicables en l'espèce.</w:t>
      </w:r>
    </w:p>
    <w:p>
      <w:r>
        <w:rPr>
          <w:b/>
        </w:rPr>
        <w:t>E. 2</w:t>
      </w:r>
    </w:p>
    <w:p>
      <w:r>
        <w:t>Selon l'art. 35 al. 1 LCR, les croisements se font à droite, les dépassements à gauche. L'art. 43 al. 3 LCR prévoit que les véhicules automobiles ne pourront accéder aux autoroutes qu'aux endroits prévus à cet effet et devront respecter les prescriptions d'utilisation ainsi que les règles spéciales de circulation. Parmi ces règles, l'art. 8 al. 1 OCR prévoit que sur les routes marquées de plusieurs voies pour une même direction - comme les autoroutes - les conducteurs doivent suivre la voie extérieure de droite. A teneur de l'art. 36 al. 3 OCR, le conducteur n'utilisera la bande d'arrêt d'urgence et les places prévues pour les véhicules en panne et signalées comme telles qu'en cas de nécessité absolue. En l'espèce, la recourante ne conteste pas les faits retenus à son encontre, à savoir qu‘elle a emprunté la bande d’arrêt d’urgence sur une distance d’environ 100 mètres et remonté les files de véhicules circulant à très faible allure pour sortir plus rapidement de l’autoroute à Montreux. Elle considère cependant que cette manœuvre ne justifie pas le prononcé d'une mesure administrative. Comme le relève le conseil de la recourante, il est exact que le fait de "circuler sur la bande d’arrêt d’urgence d’une autoroute ou d’une semi-autoroute (art. 36, al. 3, OCR)" est sanctionné par une amende d'ordre de 140 francs en vertu du chiffre 328.1 de l'annexe 1 de l'ordonnance sur les amendes d’ordre (OAO) du 4 mars 1996. Or, il résulte a contrario de l'art. 16 al. 2 LCR que lorsque la procédure prévue par la loi fédérale du 24 juin 1970 sur les amendes d’ordre (LAO) est applicable, une infraction aux prescriptions sur la circulation routière n'entraîne pas le retrait du permis. Toutefois, l'art. 2 lit. a LAO prévoit que la procédure d'amende d'ordre n'est pas applicable aux infractions dont l’auteur a mis en danger ou blessé des personnes ou causé des dommages matériels. Sur le plan administratif, le prononcé d'une mesure administrative présuppose également que le conducteur ait, outre l'infraction commise, provoqué une mise en danger. Est donc finalement déterminante la question de savoir si le comportement de la recourante a provoqué une mise en danger (CR.2005.0447 du 20 juillet 2006).</w:t>
      </w:r>
    </w:p>
    <w:p>
      <w:r>
        <w:rPr>
          <w:b/>
        </w:rPr>
        <w:t>E. 3</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4</w:t>
      </w:r>
    </w:p>
    <w:p>
      <w:r>
        <w:t>En l’espèce, la recourante, en circulant sur la bande d’arrêt d’urgence sur une distance d’environ 100 mètres, a violé les dispositions citées au considérant 2.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que tous les véhicules circulaient à très faible allure et qu'aucun usager n'a été gêné par la recourante. Il suffit toutefois d’une mise en danger abstraite pour qu’une mesure soit prononcée. En général, on peut imputer la création d’une telle mise en danger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conducteur se verrait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un conducteur aux bons antécédents a encouru un avertissement pour n’avoir parcouru qu’une soixantaine de mètres sur la bande d’arrêt d’urgence puis réintégré la file en constatant que la sortie était encore loin). Au surplus, il y a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(CR.2005.0263 du 22 septembre 2006). Ainsi, dans des cas d'usage de la bande d'arrêt d'urgence au cours des travaux de réfection du tunnel de Glion, la jurisprudence récente a retenu que les circonstances de l'espèce ne permettaient pas de discerner une mise en danger, si ce n'est dans une mesure insignifiante, si bien qu'il se justifiait d'abandonner toute mesure administrative (CR.2005.0052 du 25 septembre 2006, CR.2005.0263 du 22 septembre 2006, CR.2005.0169 du 7 août 2006, CR.2005.0447 du 20 juillet 2006, CR.2005.0063 du 9 juin 2006; voir également la décision rendue dans la cause CR.2005.0277 le 25 avril 2006 à la suite d'une libération par le juge pénal).</w:t>
      </w:r>
    </w:p>
    <w:p>
      <w:r>
        <w:rPr>
          <w:b/>
        </w:rPr>
        <w:t>E. 5</w:t>
      </w:r>
    </w:p>
    <w:p>
      <w:r>
        <w:t>En l’espèce, la recourante a remonté sur une distance de 100 mètres environ une file de véhicules qui roulaient à très faible allure. On ignore la vitesse exacte de la recourante, mais probablement était-elle limitée, compte tenu de la densité du trafic. On est donc loin de l’hypothèse du conducteur qui circulerait à vive allure sur la bande d’arrêt d’urgence pour devancer un flot de trafic dont le ralentissement ne serait qu’en cours de formation. A une vitesse aussi réduite, l’hypothèse d’un véhicule en perdition qui devrait subitement quitter la file de droite de l’autoroute est finalement assez peu vraisemblable. Reste toutefois l’hypothèse où l’intervention de la police ou des véhicules sanitaires nécessiterait que les véhicules circulant normalement s’écartent sur la bande d’arrêt d’urgence. La recourante a donc créé un risque, mais il est faible compte tenu de la vitesse limitée et de la relativement courte distance parcourue sur la bande d’arrêt d’urgence. Dans ces conditions et au vu du considérant précédent, la mise en danger paraît insignifiante, si bien que la faute - qui s'apprécie en fonction de la conscience que le conducteur pouvait avoir de créer un danger - peut également être tenue pour bénigne. La recourante pouvant se prévaloir d’une excellente réputation en tant que conductrice de véhicules automobiles, le tribunal considère que l’on se trouve encore dans un cas de si peu de gravité qu'il ne justifie pas le prononcé d’une mesure administrative.</w:t>
      </w:r>
    </w:p>
    <w:p>
      <w:r>
        <w:rPr>
          <w:b/>
        </w:rPr>
        <w:t>E. 6</w:t>
      </w:r>
    </w:p>
    <w:p>
      <w:r>
        <w:t>Les considérations qui précèdent conduisent à l'admission du recours. La décision du Service des automobiles sera dès lors annulée. Vu l'issue du litige, l'arrêt sera rendu sans frais. Obtenant gain de cause avec l'assistance d'un mandataire, la recourante a droit à l'allocation d'une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