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CR.2005.0359 vom 8. Dezember 2005</w:t>
      </w:r>
    </w:p>
    <w:p>
      <w:r>
        <w:t>VD Tribunal cantonal, 2005-12-08, FR</w:t>
      </w:r>
    </w:p>
    <w:p>
      <w:r>
        <w:rPr>
          <w:b/>
        </w:rPr>
        <w:t xml:space="preserve">Quelle: </w:t>
      </w:r>
      <w:r>
        <w:t>https://mcp.opencaselaw.ch/entscheid/vd_omni_CR.2005.0359</w:t>
      </w:r>
    </w:p>
    <w:p>
      <w:r>
        <w:t>FR: VD_OMNI CR.2005.0359 du 8 décembre 2005</w:t>
      </w:r>
    </w:p>
    <w:p>
      <w:r>
        <w:t>IT: VD_OMNI CR.2005.0359 del 8 dicembre 2005</w:t>
      </w:r>
    </w:p>
    <w:p>
      <w:pPr>
        <w:pStyle w:val="Heading2"/>
      </w:pPr>
      <w:r>
        <w:t>Regeste</w:t>
      </w:r>
    </w:p>
    <w:p>
      <w:r>
        <w:t>X. /Service des automobiles et de la navigation | Circuler avec un taux d'alcoolémie d'au moins 3,07 gr.o/oo au moment critique justifie le retrait préventif du permis de conduire et la mise en oeuvre d'une expertise afin de déterminer l'aptitude à conduire de l'intéressé. En matière de retrait préventif, des éléments objectifs suscitant de sérieux doutes quant à cette aptitude suffisent. Recours rejeté.</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leur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w:t>
      </w:r>
    </w:p>
    <w:p>
      <w:r>
        <w:rPr>
          <w:b/>
        </w:rPr>
        <w:t>E. 3</w:t>
      </w:r>
    </w:p>
    <w:p>
      <w:r>
        <w:t>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Un examen de l'aptitude à conduire s’impose lorsqu'un conducteur a circulé avec un taux d'alcoolémie de 2,5 gr. ‰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w:t>
      </w:r>
    </w:p>
    <w:p>
      <w:r>
        <w:rPr>
          <w:b/>
        </w:rPr>
        <w:t>E. 4</w:t>
      </w:r>
    </w:p>
    <w:p>
      <w:r>
        <w:t>Le cas d'espèce constitue précisément l'une des hypothèses dans lesquelles le Tribunal fédéral admet d'emblée l'existence d'un soupçon concret et important d'alcoolodépendance. Ici, l’ampleur du dépassement du taux d’alcoolémie, à partir duquel il y a lieu d’ordonner un examen de l’aptitude à la conduite, se révèle extrêmement préoccupant. Même si la recourante n’avait pas bu deux décilitres de porto entre 22h45 et 23h00 le 30 août 2005 (comme elle l'a elle-même reconnu), on voit mal que la prise de sang effectuée à 0h55 le lendemain ait pu aboutir à un résultat inférieur à 2,5 gr.‰, alors que l'alcoolémie calculée au moment critique s'élevait au taux de 3,07 gr.‰ au minimum. A ce stade de l'instruction, ces constatations justifient déjà la mise en œuvre d'une expertise et un retrait du permis de conduire à titre préventif, jusqu'à ce que l'UMTR ait déposé son rapport. En matière de retrait préventif, en effet, l’autorité peut se dispenser d’établir avec certitude  un motif de retrait de sécurité. Des éléments objectifs suscitant de sérieux doutes quant à l'aptitude à conduire de l'intéressé suffisent (ATF 125 II 492; ATF 122 II 359). L’autorité peut ainsi se contenter de faits dont la constatation ne franchit encore que le seuil d'une vraisemblance suffisante (CR.2003.0060; CR.2003.0070; CR.2003.0098; CR.2004.0083; CR.2004.0087; CR.2005.0005; CR.2005.0275). A tort, la recourante relève que la police aurait tardé à effectuer le constat, alors qu’elle répond seule, qui plus est fautivement à la lumière de l’art. 91 al. 2 LCR, de ce retard. Il lui incombait en effet d’avertir la police aussitôt que possible.</w:t>
      </w:r>
    </w:p>
    <w:p>
      <w:r>
        <w:rPr>
          <w:b/>
        </w:rPr>
        <w:t>E. 5</w:t>
      </w:r>
    </w:p>
    <w:p>
      <w:r>
        <w:t>Au vu de ce qui précède, il convient d’écarter la recourante de la circulation routière dans l’attente du rapport de l’UMTR. Le retrait préventif du permis de conduire est justifié. La décision attaquée doit être confirmée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