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CR.2005.0275 vom 5. Oktober 2005</w:t>
      </w:r>
    </w:p>
    <w:p>
      <w:r>
        <w:t>VD Tribunal cantonal, 2005-10-05, FR</w:t>
      </w:r>
    </w:p>
    <w:p>
      <w:r>
        <w:rPr>
          <w:b/>
        </w:rPr>
        <w:t xml:space="preserve">Quelle: </w:t>
      </w:r>
      <w:r>
        <w:t>https://mcp.opencaselaw.ch/entscheid/vd_omni_CR.2005.0275</w:t>
      </w:r>
    </w:p>
    <w:p>
      <w:r>
        <w:t>FR: VD_OMNI CR.2005.0275 du 5 octobre 2005</w:t>
      </w:r>
    </w:p>
    <w:p>
      <w:r>
        <w:t>IT: VD_OMNI CR.2005.0275 del 5 ottobre 2005</w:t>
      </w:r>
    </w:p>
    <w:p>
      <w:pPr>
        <w:pStyle w:val="Heading2"/>
      </w:pPr>
      <w:r>
        <w:t>Regeste</w:t>
      </w:r>
    </w:p>
    <w:p>
      <w:r>
        <w:t>X. /Service des automobiles et de la navigation | Confirmation d'un retrait préventif ordonné à l'encontre d'un conducteur qui a refusé la prise de sang, mais qui, selon toute vraisemblance, a commis une ivresse au volant deux ans après l'échéance d'un retrait de longue durée pour ivresse au volant et cinq ans après un premier retrait pour ivresse au volant. Ces circonstances font naître des doutes sérieux sur son aptitude à conduire, de sorte que le retrait préventif et l'expertise auprès de l'UMTR sont justifiés.</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w:t>
      </w:r>
    </w:p>
    <w:p>
      <w:r>
        <w:rPr>
          <w:b/>
        </w:rPr>
        <w:t>E. 3</w:t>
      </w:r>
    </w:p>
    <w:p>
      <w:r>
        <w:t>E n l’espèce, le recourant, qui a fait l’objet d’un retrait de permis de dix-sept mois pour ivresse au volant arrivé à échéance le 6 avril 2003, conteste avoir commis une nouvelle ivresse au volant le 22 juin 2005. Ce faisant, le recourant perd toutefois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L'autorité peut ainsi se contenter de faits dont la constatation ne franchit encore que le seuil d'une vraisemblance suffisante (CR.2003.0060 ; CR.2003.0070 ; CR.2003.0098 ; CR.2004.0083 ; CR.2004.0087 ; CR.2005.0005). A cet égard, il est invraisemblable qu'un conducteur soupçonné d'être en état d'ébriété, comme c’était le cas en l’espèce, ne soit pas invité à se soumettre à une prise de sang. Il ressort d’ailleurs du procès-verbal d’audition que le recourant a été informé que le juge d’instruction avait ordonné une prise de sang. De plus, tous les éléments figurant dans le rapport de police (conduite en zigzag, écart à l’approche du policier et plusieurs indices physiques de consommation d’alcool) permettent de conclure que le recourant a conduit alors qu’il était, selon toute vraisemblance, sous l’influence de l’alcool. Dans ces conditions, il apparaît que le recourant a conduit une nouvelle fois sous l’influence de l’alcool un peu plus de deux ans après l’échéance d’un retrait de longue durée pour récidive d’ivresse au volant. Il a ainsi conduit trois fois sous l’influence de l’alcool en l’espace de cinq ans seulement : ces circonstances font naître des doutes sérieux quant à son aptitude à la conduite automobile que ce soit en raison d’une éventuelle inaptitude caractérielle à la conduite (incapacité à respecter les règles de la circulation et à avoir égard pour autrui) ou d’une éventuelle dépendance à l’alcool. On relèvera d’ailleurs que l’expertise ordonnée par l’autorité intimée pour élucider ces doutes était à l’origine une expertise psychologique, mais qu’au vu du dossier, l’UMTR a décidé d’y associer une « expertise alcool ». Par conséquent, il convient d’écarter le recourant de la circulation routière dans l’attente du résultat de l’expertise mise en œuvre auprès de l’UMTR, dont le recourant ne semble d’ailleurs pas contester le principe. Le retrait préventif du permis de conduire est dès lors justifié.</w:t>
      </w:r>
    </w:p>
    <w:p>
      <w:r>
        <w:rPr>
          <w:b/>
        </w:rPr>
        <w:t>E. 4</w:t>
      </w:r>
    </w:p>
    <w:p>
      <w:r>
        <w:t>Au surplus, même si le recourant ne devait finalement faire l’objet que d’un retrait à titre d’admonestation pour refus de la prise de sang, il tomberait sous le coup de l’art. 16c al. 2 lit. c LCR qui prévoit, après la commission d’une infraction grave, un retrait de douze mois au minimum si, au cours des cinq années précédentes, le permis a été retiré une fois en raison d’une infraction grave. En effet, selon l’art. 16c al. 1 lit. d LCR, l’opposition à un prélèvement de sang, à un alcotest ou à un examen préliminaire constitue une infraction grave. Par conséquent, le recourant ne pourrait dès lors que rester privé de son permis de conduire pour de nombreux mois encore, ce qui exclut le risque qu’il se retrouve finalement privé de son permis pour une durée plus longue que celle qui sera finalement ordonnée.</w:t>
      </w:r>
    </w:p>
    <w:p>
      <w:r>
        <w:rPr>
          <w:b/>
        </w:rPr>
        <w:t>E. 5</w:t>
      </w:r>
    </w:p>
    <w:p>
      <w:r>
        <w:t>Au vu de ce qui précède, la décision attaquée doit être confirmée et le recours rejeté. Vu le caractère sommaire de la présente procédure, un émolument réduit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