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CR.2005.0242 vom 16. März 2006</w:t>
      </w:r>
    </w:p>
    <w:p>
      <w:r>
        <w:t>VD Tribunal cantonal, 2006-03-16, FR</w:t>
      </w:r>
    </w:p>
    <w:p>
      <w:r>
        <w:rPr>
          <w:b/>
        </w:rPr>
        <w:t xml:space="preserve">Quelle: </w:t>
      </w:r>
      <w:r>
        <w:t>https://mcp.opencaselaw.ch/entscheid/vd_omni_CR.2005.0242</w:t>
      </w:r>
    </w:p>
    <w:p>
      <w:r>
        <w:t>FR: VD_OMNI CR.2005.0242 du 16 mars 2006</w:t>
      </w:r>
    </w:p>
    <w:p>
      <w:r>
        <w:t>IT: VD_OMNI CR.2005.0242 del 16 marzo 2006</w:t>
      </w:r>
    </w:p>
    <w:p>
      <w:pPr>
        <w:pStyle w:val="Heading2"/>
      </w:pPr>
      <w:r>
        <w:t>Regeste</w:t>
      </w:r>
    </w:p>
    <w:p>
      <w:r>
        <w:t>X. /Service des automobiles et de la navigation | Devancer des véhicules par la droite sur l'autoroute, après s'être déplacé sur cette voie pour éviter une collision, et sans se rabattre ensuite devant les véhicules dépassés, peut encore être considéré comme une faute de moyenne gravité. En l'absence d'antécédent défavorable et vu l'utilité professionnelle relativement importante, une mesure de retrait s'en tenant au minimum légal d'un mois suffit à sanctionner le comportement du recourant. Retrait ramené de 3 à 1 mois. Recours admis.</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recourant a certes renoncé à contester le prononcé rendu le 24 février 2005 en Suisse allemande. Il ignorait toutefois qu’une procédure administrative allait être engagée à son encontre, puisque le prononcé pénal est antérieur de quatre mois à l’avis d’ouverture de procédure du Service des automobiles du 24 juin 2005. Quoi qu’il en soit, le tribunal de céans a poursuivi l’instruction en entendant le recourant, qui n’avait pas eu l’occasion de s’exprimer oralement jusqu’à alors, notamment devant l’autorité pénale. Cette mesure d’instruction permet à l’autorité administrative de s’écarter au besoin de l’état de fait retenu par l’autorité pénale.</w:t>
      </w:r>
    </w:p>
    <w:p>
      <w:r>
        <w:rPr>
          <w:b/>
        </w:rPr>
        <w:t>E. 3</w:t>
      </w:r>
    </w:p>
    <w:p>
      <w:r>
        <w:t>Les croisements se font à droite, les dépassements à gauche (art. 35 al. 1 LCR). Sur les autoroutes, un conducteur ne peut devancer d'autres véhicules par la droite que dans les cas suivants (art. 36 al. 5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Suivant en cela les explications, convaincantes et inchangées, du recourant, le Tribunal administratif est d’avis que celui-ci n’a effectivement pas dépassé par la droite les véhicules qui circulaient sur la voie gauche de l’autoroute. S’il s’est certes déporté sur la voie droite de l’autoroute qui était libre, alors qu’il circulait sur la voie de dépassement, c’est en raison du brusque freinage des véhicules qui le précédaient et dans le but d’éviter un accident. Par contre, on doit admettre, avec le recourant, que celui-ci a bien devancé les véhicules en cause par la droite. Après s’être rabattu sur la voie de circulation normale de l’autoroute, le recourant a en effet conservé son allure et devancé les véhicules qui circulaient à plus faible allure sur la voie de dépassement, sans pour autant il est vrai se rabattre devant eux. Ce n’est que quelques minutes plus tard, sans pouvoir être plus précis, que le recourant, parvenu derrière un camion, s’est déplacé à nouveau sur la voie gauche de l’autoroute pour le dépasser. En d’autres termes, il y a eu devancement par la droite, mais non dépassement. Il n’en demeure pas moins que le recourant a, par son comportement, enfreint l’art. 36 al. 5 OCR, puisque la voie droite de l’autoroute était libre et qu’il n’y avait donc pas de circulation en files parallèles.</w:t>
      </w:r>
    </w:p>
    <w:p>
      <w:r>
        <w:rPr>
          <w:b/>
        </w:rPr>
        <w:t>E. 4</w:t>
      </w:r>
    </w:p>
    <w:p>
      <w:r>
        <w:t>Aux termes de l’art. 16b al. 1 lit. a LCR, commet une infraction moyennement grave la personne qui, en violant les règles de la circulation, crée un danger pour la sécurité d’autrui ou en prend le risque. Commet par contre une infraction grave celui qui, en violant gravement les règles de la circulation, met sérieusement en danger la sécurité d’autrui ou en prend le risque (art. 16c al. 1 lit. a LCR). En l’espèce, l’autorité intimée a considéré que la faute commise par le recourant devait être qualifiée de grave et a donc fait application de l’art. 16c LCR. Le nouvel art. 16c al. 1 lit.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Ainsi, après une infraction grave, le permis de conduire sera retiré pour une durée minimale de trois mois, en l’absence d’antécédents défavorables de conduite (art. 16c al. 2 lit. a LCR). La sanction sera plus sévère encore, selon un barème fortement progressif, si le conducteur a déjà subi un retrait de permis durant les années précédentes. Le nouvel art. 16c al. 2 lit. c LCR prend clairement le contre-pied de la jurisprudence du Tribunal fédéral qui avait jugé contraire au droit fédéral la pratique cantonale selon laquelle la durée du retrait était en principe de trois mois en cas d'infraction grave (ATF 123 II 63). Cet arrêt du 7 février 1997 avait considéré que, même pour le conducteur qui avait compromis gravement la sécurité du trafic au sens de l'ancien art. 16 al. 3 let. a LCR, la durée minimale du retrait de permis était d'un mois. Tel n'est plus le cas selon la volonté nouvelle du législateur. En l’espèce, il est admis que le recourant n’a pas eu la volonté de dépasser par la droite les véhicules qui le précédaient sur la voie gauche de l’autoroute. On ne peut lui reprocher de s’être déplacé sur la voie droite, après avoir vérifié que celle-ci était libre, afin d’éviter une collision avec les véhicules qui le précédaient et qui ont brusquement freiné. Cette manœuvre n’est pas critiquable. Par contre, il est vrai que le recourant aurait dû ensuite ralentir son allure afin de ne pas devancer les autres véhicules qui étaient restés sur la voie gauche de l’autoroute. Force est toutefois d’admettre que cette seule manœuvre, en l’absence de toutes autres circonstances aggravantes, ne constitue pas encore une violation grave des règles de la circulation et n’a pas mis gravement en danger les autres usagers de la route. La faute du recourant peut ainsi encore être qualifiée de moyennement grave au sens de l’art. 16b al. 1 lit. a LCR. La durée minimale du retrait sera dès lors d’un mois, conformément à l’art. 16b al. 2 lit. a LCR, et non plus de trois mois comme l’avait retenu l’autorité intimée.</w:t>
      </w:r>
    </w:p>
    <w:p>
      <w:r>
        <w:rPr>
          <w:b/>
        </w:rPr>
        <w:t>E. 5</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Le recourant se prévaut de l’utilité professionnelle que présente pour lui la possession de son permis de conduire. En tant que directeur pour la Suisse romande, le recourant est appelé à se déplacer très fréquemment auprès de ses clients dans toute la Suisse romande, et également au siège de la société basée à Zurich. L’utilité professionnelle est avérée. Il y a lieu d’en tenir compte pour fixer la quotité du retrait. En outre, le recourant jouit d’une bonne réputation en tant que conducteur de véhicules automobiles, puisqu’il n’a fait l’objet d’aucune mesure administrative en plus de 25 ans de conduite. Tout bien considéré, le tribunal juge qu’il n’y a pas lieu de s’écarter du minimum légal posé par la loi en présence d’une infraction de moyenne gravité. Ainsi, la durée du retrait prononcé à l’encontre du recourant sera ramenée à un mois. On relèvera ici que l’autorité intimée ne s’était d’ailleurs pas non plus écartée du minimum légal, mais avait qualifié la faute commise de grave.</w:t>
      </w:r>
    </w:p>
    <w:p>
      <w:r>
        <w:rPr>
          <w:b/>
        </w:rPr>
        <w:t>E. 6</w:t>
      </w:r>
    </w:p>
    <w:p>
      <w:r>
        <w:t>Les considérations qui précèdent conduisent à l’admission du recours . Les frais seront donc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