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CR.2005.0187 vom 28. August 2006</w:t>
      </w:r>
    </w:p>
    <w:p>
      <w:r>
        <w:t>VD Tribunal cantonal, 2006-08-28, FR</w:t>
      </w:r>
    </w:p>
    <w:p>
      <w:r>
        <w:rPr>
          <w:b/>
        </w:rPr>
        <w:t xml:space="preserve">Quelle: </w:t>
      </w:r>
      <w:r>
        <w:t>https://mcp.opencaselaw.ch/entscheid/vd_omni_CR.2005.0187</w:t>
      </w:r>
    </w:p>
    <w:p>
      <w:r>
        <w:t>FR: VD_OMNI CR.2005.0187 du 28 août 2006</w:t>
      </w:r>
    </w:p>
    <w:p>
      <w:r>
        <w:t>IT: VD_OMNI CR.2005.0187 del 28 agosto 2006</w:t>
      </w:r>
    </w:p>
    <w:p>
      <w:pPr>
        <w:pStyle w:val="Heading2"/>
      </w:pPr>
      <w:r>
        <w:t>Regeste</w:t>
      </w:r>
    </w:p>
    <w:p>
      <w:r>
        <w:t>X. /Service des automobiles et de la navigation | Circuler à une distance inférieure à 10 mètres derrière un véhicule sur l'autoroute sur plusieurs centaines de mètres constitue une infraction moyennement grave qui entraîne le retrait du permis pour une durée d'un mois au moins. Recours rejeté.</w:t>
      </w:r>
    </w:p>
    <w:p>
      <w:pPr>
        <w:pStyle w:val="Heading2"/>
      </w:pPr>
      <w:r>
        <w:t>Erwägungen</w:t>
      </w:r>
    </w:p>
    <w:p>
      <w:r>
        <w:rPr>
          <w:b/>
        </w:rPr>
        <w:t>E. 1</w:t>
      </w:r>
    </w:p>
    <w:p>
      <w:r>
        <w:t>let. a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moyenne gravité et le cas grave.</w:t>
      </w:r>
    </w:p>
    <w:p>
      <w:r>
        <w:rPr>
          <w:b/>
        </w:rPr>
        <w:t>E. 2</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Le Tribunal fédéral a confirmé le retrait de permis ordonné à l'encontre d'un conducteur qui circule sur l'autoroute et qui, sur un long tronçon, se tient à une distance de 8 mètres du véhicule qui le précède, alors que le trafic est dense, le cas étant considéré comme de moyenne gravité (ATF 126 II 358). Dans un arrêt récent, le Tribunal administratif a considéré comme un cas de moyenne gravité le fait de suivre un véhicule à une distance de</w:t>
      </w:r>
    </w:p>
    <w:p>
      <w:r>
        <w:rPr>
          <w:b/>
        </w:rPr>
        <w:t>E. 5</w:t>
      </w:r>
    </w:p>
    <w:p>
      <w:r>
        <w:t>à 10 mètres sur un long tronçon d'autoroute à 120 km/h et a confirmé le retrait d'un mois prononcé à l'encontre du conducteur (CR.2005.0465). 3. En l'espèce, le cas litigieux est à rapprocher des deux cas précités : le recourant, comme il l'admet dans son recours, a suivi, à deux reprises, le véhicule qui le précédait à une distance inférieure à 10 mètres (7 à 8 mètres selon ses dires), sur un tronçon relativement long et à une vitesse de 100 km/h, puis de 120 km/h. Par son comportement, le recourant a enfreint les art. 34 al. 4 LCR et 12 al. 1 OCR. S’agissant de la faute commise, le recourant a violé son devoir de prudence et créé une mise en danger du trafic en cas de freinage brusque du véhicule qui le précédait. Cependant, comme l'a jugé le Tribunal fédéral et le Tribunal administratif dans les arrêts précités, le cas présent apparaît ainsi comme un cas de moyenne gravité au sens de l’art. 16b al. 1 let. a LCR et non pas comme un cas grave, car il ne s'agit pas d'une faute délibérée de la part du recourant, mais plutôt d'une négligence fautive. Conformément à l'art. 16b al. 2 let. a LCR, la commission d'une infraction moyennement grave entraîne le retrait du permis de conduire pour une durée d'un mois au moins. S'agissant de la fixation de la durée du retrait, l'art. 16 LCR prévoit que les circonstances doivent être prises en considération pour fixer la durée du retrait, notamment l’atteinte à la sécurité routière, la gravité de la faute, les antécédents en tant que conducteur ainsi que la nécessité professionnelle de conduire un véhicule automobile. En l'espèce, au vu de l'ensemble des circonstances et de la bonne réputation du recourant en tant que conducteur, il se justifie de s'en tenir à la durée minimale d'un mois. La décision attaquée sera donc réformée en ce sens que la durée du retrait est ramenée à un mois.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